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35457" w14:textId="77777777" w:rsidR="00AF1DA2" w:rsidRDefault="00AF1DA2" w:rsidP="00AF1DA2">
      <w:pPr>
        <w:tabs>
          <w:tab w:val="left" w:pos="-720"/>
        </w:tabs>
        <w:jc w:val="center"/>
        <w:rPr>
          <w:rFonts w:ascii="Times New Roman" w:eastAsia="Times New Roman" w:hAnsi="Times New Roman" w:cs="Times New Roman"/>
        </w:rPr>
      </w:pPr>
      <w:r>
        <w:rPr>
          <w:rFonts w:ascii="Times New Roman" w:eastAsia="Times New Roman" w:hAnsi="Times New Roman" w:cs="Times New Roman"/>
        </w:rPr>
        <w:t>INTERNATIONAL INVITATION FOR TENDERS</w:t>
      </w:r>
    </w:p>
    <w:p w14:paraId="00474881" w14:textId="77777777" w:rsidR="00AF1DA2" w:rsidRDefault="00AF1DA2" w:rsidP="00AF1DA2">
      <w:pPr>
        <w:rPr>
          <w:rFonts w:ascii="Times New Roman" w:eastAsia="Times New Roman" w:hAnsi="Times New Roman" w:cs="Times New Roman"/>
        </w:rPr>
      </w:pPr>
    </w:p>
    <w:p w14:paraId="49B5277F" w14:textId="77777777" w:rsidR="00AF1DA2" w:rsidRDefault="00AF1DA2" w:rsidP="00AF1DA2">
      <w:pPr>
        <w:spacing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Republic of Türkiye</w:t>
      </w:r>
    </w:p>
    <w:p w14:paraId="45B91A8A" w14:textId="77777777" w:rsidR="00AF1DA2" w:rsidRDefault="00AF1DA2" w:rsidP="00AF1DA2">
      <w:pPr>
        <w:spacing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Earthquake Reconstruction Framework Loan</w:t>
      </w:r>
    </w:p>
    <w:p w14:paraId="693BFB78" w14:textId="77777777" w:rsidR="00AF1DA2" w:rsidRDefault="00AF1DA2" w:rsidP="00AF1DA2">
      <w:pPr>
        <w:spacing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June 2026</w:t>
      </w:r>
    </w:p>
    <w:p w14:paraId="3D2B148B" w14:textId="77777777" w:rsidR="00AF1DA2" w:rsidRDefault="00AF1DA2" w:rsidP="00AF1DA2">
      <w:pPr>
        <w:keepNext/>
        <w:keepLines/>
        <w:tabs>
          <w:tab w:val="left" w:pos="-720"/>
        </w:tabs>
        <w:spacing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Construction of </w:t>
      </w:r>
      <w:proofErr w:type="spellStart"/>
      <w:r>
        <w:rPr>
          <w:rFonts w:ascii="Times New Roman" w:eastAsia="Times New Roman" w:hAnsi="Times New Roman" w:cs="Times New Roman"/>
          <w:b/>
          <w:bCs/>
          <w:sz w:val="24"/>
          <w:szCs w:val="24"/>
        </w:rPr>
        <w:t>Akçakale</w:t>
      </w:r>
      <w:proofErr w:type="spellEnd"/>
      <w:r>
        <w:rPr>
          <w:rFonts w:ascii="Times New Roman" w:eastAsia="Times New Roman" w:hAnsi="Times New Roman" w:cs="Times New Roman"/>
          <w:b/>
          <w:bCs/>
          <w:sz w:val="24"/>
          <w:szCs w:val="24"/>
        </w:rPr>
        <w:t xml:space="preserve">-Harran Drinking Water Transmission Line </w:t>
      </w:r>
    </w:p>
    <w:p w14:paraId="38BFEC31" w14:textId="77777777" w:rsidR="00AF1DA2" w:rsidRDefault="00AF1DA2" w:rsidP="00AF1DA2">
      <w:pPr>
        <w:keepNext/>
        <w:keepLines/>
        <w:tabs>
          <w:tab w:val="left" w:pos="-720"/>
        </w:tabs>
        <w:spacing w:after="240"/>
        <w:jc w:val="center"/>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İLBANK</w:t>
      </w:r>
    </w:p>
    <w:p w14:paraId="35D4E985" w14:textId="77777777" w:rsidR="00AF1DA2" w:rsidRDefault="00AF1DA2" w:rsidP="00AF1DA2">
      <w:pPr>
        <w:rPr>
          <w:rFonts w:ascii="Times New Roman" w:eastAsia="Times New Roman" w:hAnsi="Times New Roman" w:cs="Times New Roman"/>
          <w:sz w:val="24"/>
          <w:szCs w:val="24"/>
        </w:rPr>
      </w:pPr>
    </w:p>
    <w:p w14:paraId="440F655D" w14:textId="77777777" w:rsidR="00AF1DA2" w:rsidRDefault="00AF1DA2" w:rsidP="00AF1DA2">
      <w:pPr>
        <w:spacing w:before="120"/>
        <w:jc w:val="both"/>
        <w:rPr>
          <w:rFonts w:ascii="Times New Roman" w:eastAsia="Times New Roman" w:hAnsi="Times New Roman" w:cs="Times New Roman"/>
          <w:sz w:val="24"/>
          <w:szCs w:val="24"/>
        </w:rPr>
      </w:pPr>
      <w:bookmarkStart w:id="0" w:name="_ugpbw09y0raz" w:colFirst="0" w:colLast="0"/>
      <w:bookmarkEnd w:id="0"/>
      <w:r>
        <w:rPr>
          <w:rFonts w:ascii="Times New Roman" w:eastAsia="Times New Roman" w:hAnsi="Times New Roman" w:cs="Times New Roman"/>
          <w:sz w:val="24"/>
          <w:szCs w:val="24"/>
        </w:rPr>
        <w:t>The Ministry of Treasury and Finance (</w:t>
      </w:r>
      <w:proofErr w:type="spellStart"/>
      <w:r>
        <w:rPr>
          <w:rFonts w:ascii="Times New Roman" w:eastAsia="Times New Roman" w:hAnsi="Times New Roman" w:cs="Times New Roman"/>
          <w:sz w:val="24"/>
          <w:szCs w:val="24"/>
        </w:rPr>
        <w:t>MoTF</w:t>
      </w:r>
      <w:proofErr w:type="spellEnd"/>
      <w:r>
        <w:rPr>
          <w:rFonts w:ascii="Times New Roman" w:eastAsia="Times New Roman" w:hAnsi="Times New Roman" w:cs="Times New Roman"/>
          <w:sz w:val="24"/>
          <w:szCs w:val="24"/>
        </w:rPr>
        <w:t xml:space="preserve">) (Hereinafter called “Borrower”) has received financing from the European Investment Bank – EIB (hereinafter referred as “the Bank”) – toward the cost of the Earthquake Reconstruction Framework Loan, The Promoter is İLLER BANKASI A.Ş. (Hereinafter called “İLBANK”). This international Invitation for tenders relates to the contract for “Construction of </w:t>
      </w:r>
      <w:proofErr w:type="spellStart"/>
      <w:r>
        <w:rPr>
          <w:rFonts w:ascii="Times New Roman" w:eastAsia="Times New Roman" w:hAnsi="Times New Roman" w:cs="Times New Roman"/>
          <w:sz w:val="24"/>
          <w:szCs w:val="24"/>
        </w:rPr>
        <w:t>Akçakale</w:t>
      </w:r>
      <w:proofErr w:type="spellEnd"/>
      <w:r>
        <w:rPr>
          <w:rFonts w:ascii="Times New Roman" w:eastAsia="Times New Roman" w:hAnsi="Times New Roman" w:cs="Times New Roman"/>
          <w:sz w:val="24"/>
          <w:szCs w:val="24"/>
        </w:rPr>
        <w:t xml:space="preserve">-Harran Drinking Water Transmission Line </w:t>
      </w:r>
      <w:r>
        <w:rPr>
          <w:rFonts w:ascii="Times New Roman" w:eastAsia="Times New Roman" w:hAnsi="Times New Roman" w:cs="Times New Roman"/>
          <w:smallCaps/>
          <w:sz w:val="24"/>
          <w:szCs w:val="24"/>
        </w:rPr>
        <w:t>(URF-AKH-W01)</w:t>
      </w:r>
      <w:r>
        <w:rPr>
          <w:rFonts w:ascii="Times New Roman" w:eastAsia="Times New Roman" w:hAnsi="Times New Roman" w:cs="Times New Roman"/>
          <w:sz w:val="24"/>
          <w:szCs w:val="24"/>
        </w:rPr>
        <w:t>” The Employer for this project will be “</w:t>
      </w:r>
      <w:proofErr w:type="spellStart"/>
      <w:r>
        <w:rPr>
          <w:rFonts w:ascii="Times New Roman" w:eastAsia="Times New Roman" w:hAnsi="Times New Roman" w:cs="Times New Roman"/>
          <w:sz w:val="24"/>
          <w:szCs w:val="24"/>
        </w:rPr>
        <w:t>Şanlıurfa</w:t>
      </w:r>
      <w:proofErr w:type="spellEnd"/>
      <w:r>
        <w:rPr>
          <w:rFonts w:ascii="Times New Roman" w:eastAsia="Times New Roman" w:hAnsi="Times New Roman" w:cs="Times New Roman"/>
          <w:sz w:val="24"/>
          <w:szCs w:val="24"/>
        </w:rPr>
        <w:t xml:space="preserve"> Metropolitan Municipality, General Directorate of </w:t>
      </w:r>
      <w:proofErr w:type="spellStart"/>
      <w:r>
        <w:rPr>
          <w:rFonts w:ascii="Times New Roman" w:eastAsia="Times New Roman" w:hAnsi="Times New Roman" w:cs="Times New Roman"/>
          <w:sz w:val="24"/>
          <w:szCs w:val="24"/>
        </w:rPr>
        <w:t>Şanlıurfa</w:t>
      </w:r>
      <w:proofErr w:type="spellEnd"/>
      <w:r>
        <w:rPr>
          <w:rFonts w:ascii="Times New Roman" w:eastAsia="Times New Roman" w:hAnsi="Times New Roman" w:cs="Times New Roman"/>
          <w:sz w:val="24"/>
          <w:szCs w:val="24"/>
        </w:rPr>
        <w:t xml:space="preserve"> Water and Wastewater Administration”.</w:t>
      </w:r>
    </w:p>
    <w:p w14:paraId="1DB076A8" w14:textId="77777777" w:rsidR="00AF1DA2" w:rsidRDefault="00AF1DA2" w:rsidP="00AF1DA2">
      <w:pPr>
        <w:spacing w:after="240"/>
        <w:jc w:val="both"/>
        <w:rPr>
          <w:rFonts w:ascii="Times New Roman" w:eastAsia="Times New Roman" w:hAnsi="Times New Roman" w:cs="Times New Roman"/>
          <w:sz w:val="24"/>
          <w:szCs w:val="24"/>
        </w:rPr>
      </w:pPr>
    </w:p>
    <w:p w14:paraId="15C4C4A7" w14:textId="77777777" w:rsidR="00AF1DA2" w:rsidRDefault="00AF1DA2" w:rsidP="00AF1DA2">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works covered under this contract is the</w:t>
      </w:r>
      <w:r>
        <w:rPr>
          <w:rFonts w:ascii="Times New Roman" w:eastAsia="Times New Roman" w:hAnsi="Times New Roman" w:cs="Times New Roman"/>
          <w:b/>
          <w:bCs/>
          <w:sz w:val="24"/>
          <w:szCs w:val="24"/>
        </w:rPr>
        <w:t xml:space="preserve"> Construction of </w:t>
      </w:r>
      <w:proofErr w:type="spellStart"/>
      <w:r>
        <w:rPr>
          <w:rFonts w:ascii="Times New Roman" w:eastAsia="Times New Roman" w:hAnsi="Times New Roman" w:cs="Times New Roman"/>
          <w:b/>
          <w:bCs/>
          <w:sz w:val="24"/>
          <w:szCs w:val="24"/>
        </w:rPr>
        <w:t>Akçakale</w:t>
      </w:r>
      <w:proofErr w:type="spellEnd"/>
      <w:r>
        <w:rPr>
          <w:rFonts w:ascii="Times New Roman" w:eastAsia="Times New Roman" w:hAnsi="Times New Roman" w:cs="Times New Roman"/>
          <w:b/>
          <w:bCs/>
          <w:sz w:val="24"/>
          <w:szCs w:val="24"/>
        </w:rPr>
        <w:t>-Harran Drinking Water Transmission Line</w:t>
      </w:r>
      <w:r>
        <w:rPr>
          <w:rFonts w:ascii="Times New Roman" w:eastAsia="Times New Roman" w:hAnsi="Times New Roman" w:cs="Times New Roman"/>
          <w:sz w:val="24"/>
          <w:szCs w:val="24"/>
        </w:rPr>
        <w:t>, the scope of Works as follows:</w:t>
      </w:r>
    </w:p>
    <w:p w14:paraId="38B9084B" w14:textId="77777777" w:rsidR="00AF1DA2" w:rsidRDefault="00AF1DA2" w:rsidP="00AF1DA2">
      <w:pPr>
        <w:numPr>
          <w:ilvl w:val="0"/>
          <w:numId w:val="3"/>
        </w:numPr>
        <w:pBdr>
          <w:top w:val="nil"/>
          <w:left w:val="nil"/>
          <w:bottom w:val="nil"/>
          <w:right w:val="nil"/>
          <w:between w:val="nil"/>
        </w:pBdr>
        <w:spacing w:after="240"/>
        <w:jc w:val="both"/>
        <w:rPr>
          <w:color w:val="000000"/>
          <w:sz w:val="24"/>
          <w:szCs w:val="24"/>
        </w:rPr>
      </w:pPr>
      <w:r>
        <w:rPr>
          <w:rFonts w:ascii="Times New Roman" w:eastAsia="Times New Roman" w:hAnsi="Times New Roman" w:cs="Times New Roman"/>
          <w:color w:val="000000"/>
          <w:sz w:val="24"/>
          <w:szCs w:val="24"/>
        </w:rPr>
        <w:t>Construction of approximately 43 km long transmission lines composed of 400, 600, 700, 800, 900, 1000 mm steel pipes.</w:t>
      </w:r>
    </w:p>
    <w:p w14:paraId="2D8005FB" w14:textId="77777777" w:rsidR="00AF1DA2" w:rsidRDefault="00AF1DA2" w:rsidP="00AF1DA2">
      <w:pPr>
        <w:numPr>
          <w:ilvl w:val="0"/>
          <w:numId w:val="3"/>
        </w:numPr>
        <w:pBdr>
          <w:top w:val="nil"/>
          <w:left w:val="nil"/>
          <w:bottom w:val="nil"/>
          <w:right w:val="nil"/>
          <w:between w:val="nil"/>
        </w:pBdr>
        <w:spacing w:after="240"/>
        <w:jc w:val="both"/>
        <w:rPr>
          <w:color w:val="000000"/>
          <w:sz w:val="24"/>
          <w:szCs w:val="24"/>
        </w:rPr>
      </w:pPr>
      <w:r>
        <w:rPr>
          <w:rFonts w:ascii="Times New Roman" w:eastAsia="Times New Roman" w:hAnsi="Times New Roman" w:cs="Times New Roman"/>
          <w:color w:val="000000"/>
          <w:sz w:val="24"/>
          <w:szCs w:val="24"/>
        </w:rPr>
        <w:t>Construction of approximately 1.2 km long 280 mm and 630 mm HDPE pipelines,</w:t>
      </w:r>
    </w:p>
    <w:p w14:paraId="237234C5" w14:textId="77777777" w:rsidR="00AF1DA2" w:rsidRDefault="00AF1DA2" w:rsidP="00AF1DA2">
      <w:pPr>
        <w:numPr>
          <w:ilvl w:val="0"/>
          <w:numId w:val="3"/>
        </w:numPr>
        <w:pBdr>
          <w:top w:val="nil"/>
          <w:left w:val="nil"/>
          <w:bottom w:val="nil"/>
          <w:right w:val="nil"/>
          <w:between w:val="nil"/>
        </w:pBdr>
        <w:spacing w:after="240"/>
        <w:jc w:val="both"/>
        <w:rPr>
          <w:color w:val="000000"/>
          <w:sz w:val="24"/>
          <w:szCs w:val="24"/>
        </w:rPr>
      </w:pPr>
      <w:r>
        <w:rPr>
          <w:rFonts w:ascii="Times New Roman" w:eastAsia="Times New Roman" w:hAnsi="Times New Roman" w:cs="Times New Roman"/>
          <w:color w:val="000000"/>
          <w:sz w:val="24"/>
          <w:szCs w:val="24"/>
        </w:rPr>
        <w:t>Repair and liquid tightness test of existing water reservoir with 15,000 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volume.  Supply, installation, testing and commissioning of pipe, fittings, instrument and equipment in the reservoir and its maneuver chamber.</w:t>
      </w:r>
    </w:p>
    <w:p w14:paraId="6F5F2116" w14:textId="77777777" w:rsidR="00AF1DA2" w:rsidRDefault="00AF1DA2" w:rsidP="00AF1DA2">
      <w:pPr>
        <w:numPr>
          <w:ilvl w:val="0"/>
          <w:numId w:val="3"/>
        </w:numPr>
        <w:pBdr>
          <w:top w:val="nil"/>
          <w:left w:val="nil"/>
          <w:bottom w:val="nil"/>
          <w:right w:val="nil"/>
          <w:between w:val="nil"/>
        </w:pBdr>
        <w:spacing w:after="240"/>
        <w:jc w:val="both"/>
        <w:rPr>
          <w:color w:val="000000"/>
          <w:sz w:val="24"/>
          <w:szCs w:val="24"/>
        </w:rPr>
      </w:pPr>
      <w:r>
        <w:rPr>
          <w:rFonts w:ascii="Times New Roman" w:eastAsia="Times New Roman" w:hAnsi="Times New Roman" w:cs="Times New Roman"/>
          <w:color w:val="000000"/>
          <w:sz w:val="24"/>
          <w:szCs w:val="24"/>
        </w:rPr>
        <w:t>Construction of chlorination building of existing reservoir. Supply, installation, testing and commissioning gas chlorination equipment.</w:t>
      </w:r>
    </w:p>
    <w:p w14:paraId="2F8539B0" w14:textId="77777777" w:rsidR="00AF1DA2" w:rsidRDefault="00AF1DA2" w:rsidP="00AF1DA2">
      <w:pPr>
        <w:numPr>
          <w:ilvl w:val="0"/>
          <w:numId w:val="3"/>
        </w:numPr>
        <w:pBdr>
          <w:top w:val="nil"/>
          <w:left w:val="nil"/>
          <w:bottom w:val="nil"/>
          <w:right w:val="nil"/>
          <w:between w:val="nil"/>
        </w:pBdr>
        <w:spacing w:after="240"/>
        <w:jc w:val="both"/>
        <w:rPr>
          <w:color w:val="000000"/>
          <w:sz w:val="24"/>
          <w:szCs w:val="24"/>
        </w:rPr>
      </w:pPr>
      <w:r>
        <w:rPr>
          <w:rFonts w:ascii="Times New Roman" w:eastAsia="Times New Roman" w:hAnsi="Times New Roman" w:cs="Times New Roman"/>
          <w:color w:val="000000"/>
          <w:sz w:val="24"/>
          <w:szCs w:val="24"/>
        </w:rPr>
        <w:t>Construction of flowmeters, branch, pressure reducing valve, drainage and air release valve chambers. Supply, installation, testing and commissioning of pipe, fittings, instrument and equipment.</w:t>
      </w:r>
    </w:p>
    <w:p w14:paraId="2502CF9C" w14:textId="77777777" w:rsidR="00AF1DA2" w:rsidRDefault="00AF1DA2" w:rsidP="00AF1DA2">
      <w:pPr>
        <w:numPr>
          <w:ilvl w:val="0"/>
          <w:numId w:val="3"/>
        </w:numPr>
        <w:pBdr>
          <w:top w:val="nil"/>
          <w:left w:val="nil"/>
          <w:bottom w:val="nil"/>
          <w:right w:val="nil"/>
          <w:between w:val="nil"/>
        </w:pBdr>
        <w:spacing w:after="240"/>
        <w:jc w:val="both"/>
        <w:rPr>
          <w:color w:val="000000"/>
          <w:sz w:val="24"/>
          <w:szCs w:val="24"/>
        </w:rPr>
      </w:pPr>
      <w:r>
        <w:rPr>
          <w:rFonts w:ascii="Times New Roman" w:eastAsia="Times New Roman" w:hAnsi="Times New Roman" w:cs="Times New Roman"/>
          <w:color w:val="000000"/>
          <w:sz w:val="24"/>
          <w:szCs w:val="24"/>
        </w:rPr>
        <w:t>Electrical works including cathodic protection of transmission lines, energy transmission line.</w:t>
      </w:r>
    </w:p>
    <w:p w14:paraId="77E34FC3" w14:textId="77777777" w:rsidR="00AF1DA2" w:rsidRDefault="00AF1DA2" w:rsidP="00AF1DA2">
      <w:pPr>
        <w:numPr>
          <w:ilvl w:val="0"/>
          <w:numId w:val="3"/>
        </w:numPr>
        <w:pBdr>
          <w:top w:val="nil"/>
          <w:left w:val="nil"/>
          <w:bottom w:val="nil"/>
          <w:right w:val="nil"/>
          <w:between w:val="nil"/>
        </w:pBdr>
        <w:spacing w:after="240"/>
        <w:jc w:val="both"/>
        <w:rPr>
          <w:color w:val="000000"/>
          <w:sz w:val="24"/>
          <w:szCs w:val="24"/>
        </w:rPr>
      </w:pPr>
      <w:r>
        <w:rPr>
          <w:rFonts w:ascii="Times New Roman" w:eastAsia="Times New Roman" w:hAnsi="Times New Roman" w:cs="Times New Roman"/>
          <w:color w:val="000000"/>
          <w:sz w:val="24"/>
          <w:szCs w:val="24"/>
        </w:rPr>
        <w:t xml:space="preserve">SCADA and automation </w:t>
      </w:r>
      <w:proofErr w:type="gramStart"/>
      <w:r>
        <w:rPr>
          <w:rFonts w:ascii="Times New Roman" w:eastAsia="Times New Roman" w:hAnsi="Times New Roman" w:cs="Times New Roman"/>
          <w:color w:val="000000"/>
          <w:sz w:val="24"/>
          <w:szCs w:val="24"/>
        </w:rPr>
        <w:t>works</w:t>
      </w:r>
      <w:proofErr w:type="gramEnd"/>
      <w:r>
        <w:rPr>
          <w:rFonts w:ascii="Times New Roman" w:eastAsia="Times New Roman" w:hAnsi="Times New Roman" w:cs="Times New Roman"/>
          <w:color w:val="000000"/>
          <w:sz w:val="24"/>
          <w:szCs w:val="24"/>
        </w:rPr>
        <w:t>.</w:t>
      </w:r>
    </w:p>
    <w:p w14:paraId="6677DF9A" w14:textId="77777777" w:rsidR="00AF1DA2" w:rsidRDefault="00AF1DA2" w:rsidP="00AF1DA2">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construction period will be 730 days, followed by 12 months for Defect Liability Period.</w:t>
      </w:r>
    </w:p>
    <w:p w14:paraId="1FCA0937" w14:textId="77777777" w:rsidR="00AF1DA2" w:rsidRDefault="00AF1DA2" w:rsidP="00AF1DA2">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selection criteria to be met by the bidders are as follows.</w:t>
      </w:r>
    </w:p>
    <w:p w14:paraId="24D03688" w14:textId="77777777" w:rsidR="00AF1DA2" w:rsidRDefault="00AF1DA2" w:rsidP="00AF1DA2">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evaluation criteria to be used is the lowest price of the compliant and technically responsive tenders in the tender evaluation and establishing to the Employer’s satisfaction that;</w:t>
      </w:r>
    </w:p>
    <w:p w14:paraId="62C8D80B" w14:textId="77777777" w:rsidR="00AF1DA2" w:rsidRDefault="00AF1DA2" w:rsidP="00AF1DA2">
      <w:pPr>
        <w:numPr>
          <w:ilvl w:val="0"/>
          <w:numId w:val="1"/>
        </w:numPr>
        <w:spacing w:after="240"/>
        <w:jc w:val="both"/>
        <w:rPr>
          <w:rFonts w:ascii="Times New Roman" w:eastAsia="Times New Roman" w:hAnsi="Times New Roman" w:cs="Times New Roman"/>
          <w:sz w:val="24"/>
          <w:szCs w:val="24"/>
        </w:rPr>
      </w:pPr>
      <w:bookmarkStart w:id="1" w:name="_bqjvq3ybsa51" w:colFirst="0" w:colLast="0"/>
      <w:bookmarkEnd w:id="1"/>
      <w:r>
        <w:rPr>
          <w:rFonts w:ascii="Times New Roman" w:eastAsia="Times New Roman" w:hAnsi="Times New Roman" w:cs="Times New Roman"/>
          <w:sz w:val="24"/>
          <w:szCs w:val="24"/>
        </w:rPr>
        <w:t xml:space="preserve">The Bidder must have successfully completed similar contracts as defined below within the </w:t>
      </w:r>
      <w:r>
        <w:rPr>
          <w:rFonts w:ascii="Times New Roman" w:eastAsia="Times New Roman" w:hAnsi="Times New Roman" w:cs="Times New Roman"/>
          <w:b/>
          <w:bCs/>
          <w:sz w:val="24"/>
          <w:szCs w:val="24"/>
        </w:rPr>
        <w:t>last 10 years</w:t>
      </w:r>
      <w:r>
        <w:rPr>
          <w:rFonts w:ascii="Times New Roman" w:eastAsia="Times New Roman" w:hAnsi="Times New Roman" w:cs="Times New Roman"/>
          <w:sz w:val="24"/>
          <w:szCs w:val="24"/>
        </w:rPr>
        <w:t xml:space="preserve"> up to the submission deadline of the Tender. Previous experience must be proved by originals or notary-certified copies of provisional acceptance (Taking Over Certificate) or final acceptance (Performance) certificates.</w:t>
      </w:r>
    </w:p>
    <w:p w14:paraId="4E1519A1" w14:textId="77777777" w:rsidR="00AF1DA2" w:rsidRDefault="00AF1DA2" w:rsidP="00AF1DA2">
      <w:pPr>
        <w:numPr>
          <w:ilvl w:val="0"/>
          <w:numId w:val="1"/>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Participation as contractor, management contractor, a joint venture member or subcontractor, within the </w:t>
      </w:r>
      <w:r>
        <w:rPr>
          <w:rFonts w:ascii="Times New Roman" w:eastAsia="Times New Roman" w:hAnsi="Times New Roman" w:cs="Times New Roman"/>
          <w:b/>
          <w:bCs/>
          <w:sz w:val="24"/>
          <w:szCs w:val="24"/>
        </w:rPr>
        <w:t xml:space="preserve">last ten (10) years </w:t>
      </w:r>
      <w:r>
        <w:rPr>
          <w:rFonts w:ascii="Times New Roman" w:eastAsia="Times New Roman" w:hAnsi="Times New Roman" w:cs="Times New Roman"/>
          <w:sz w:val="24"/>
          <w:szCs w:val="24"/>
        </w:rPr>
        <w:t>(between 1st January 2016 and bid submission deadline) in</w:t>
      </w:r>
    </w:p>
    <w:p w14:paraId="1A850417" w14:textId="77777777" w:rsidR="00AF1DA2" w:rsidRDefault="00AF1DA2" w:rsidP="00AF1DA2">
      <w:pPr>
        <w:numPr>
          <w:ilvl w:val="0"/>
          <w:numId w:val="6"/>
        </w:numPr>
        <w:spacing w:after="240"/>
        <w:rPr>
          <w:sz w:val="24"/>
          <w:szCs w:val="24"/>
        </w:rPr>
      </w:pPr>
      <w:r>
        <w:rPr>
          <w:rFonts w:ascii="Times New Roman" w:eastAsia="Times New Roman" w:hAnsi="Times New Roman" w:cs="Times New Roman"/>
          <w:b/>
          <w:bCs/>
          <w:sz w:val="24"/>
          <w:szCs w:val="24"/>
        </w:rPr>
        <w:t>at least one (1) contract</w:t>
      </w:r>
      <w:r>
        <w:rPr>
          <w:rFonts w:ascii="Times New Roman" w:eastAsia="Times New Roman" w:hAnsi="Times New Roman" w:cs="Times New Roman"/>
          <w:sz w:val="24"/>
          <w:szCs w:val="24"/>
        </w:rPr>
        <w:t xml:space="preserve">, with a value of at </w:t>
      </w:r>
      <w:proofErr w:type="gramStart"/>
      <w:r>
        <w:rPr>
          <w:rFonts w:ascii="Times New Roman" w:eastAsia="Times New Roman" w:hAnsi="Times New Roman" w:cs="Times New Roman"/>
          <w:sz w:val="24"/>
          <w:szCs w:val="24"/>
        </w:rPr>
        <w:t xml:space="preserve">least  </w:t>
      </w:r>
      <w:r>
        <w:rPr>
          <w:rFonts w:ascii="Times New Roman" w:eastAsia="Times New Roman" w:hAnsi="Times New Roman" w:cs="Times New Roman"/>
          <w:b/>
          <w:bCs/>
          <w:sz w:val="24"/>
          <w:szCs w:val="24"/>
        </w:rPr>
        <w:t>twenty</w:t>
      </w:r>
      <w:proofErr w:type="gramEnd"/>
      <w:r>
        <w:rPr>
          <w:rFonts w:ascii="Times New Roman" w:eastAsia="Times New Roman" w:hAnsi="Times New Roman" w:cs="Times New Roman"/>
          <w:b/>
          <w:bCs/>
          <w:sz w:val="24"/>
          <w:szCs w:val="24"/>
        </w:rPr>
        <w:t xml:space="preserve"> million (20,000,000) Euro</w:t>
      </w:r>
      <w:r>
        <w:rPr>
          <w:rFonts w:ascii="Times New Roman" w:eastAsia="Times New Roman" w:hAnsi="Times New Roman" w:cs="Times New Roman"/>
          <w:sz w:val="24"/>
          <w:szCs w:val="24"/>
        </w:rPr>
        <w:t>, or</w:t>
      </w:r>
    </w:p>
    <w:p w14:paraId="7BFAAE95" w14:textId="77777777" w:rsidR="00AF1DA2" w:rsidRDefault="00AF1DA2" w:rsidP="00AF1DA2">
      <w:pPr>
        <w:numPr>
          <w:ilvl w:val="0"/>
          <w:numId w:val="6"/>
        </w:numPr>
        <w:spacing w:after="240"/>
        <w:jc w:val="both"/>
        <w:rPr>
          <w:sz w:val="24"/>
          <w:szCs w:val="24"/>
        </w:rPr>
      </w:pPr>
      <w:r>
        <w:rPr>
          <w:rFonts w:ascii="Times New Roman" w:eastAsia="Times New Roman" w:hAnsi="Times New Roman" w:cs="Times New Roman"/>
          <w:b/>
          <w:bCs/>
          <w:sz w:val="24"/>
          <w:szCs w:val="24"/>
        </w:rPr>
        <w:t>two (2) contracts</w:t>
      </w:r>
      <w:r>
        <w:rPr>
          <w:rFonts w:ascii="Times New Roman" w:eastAsia="Times New Roman" w:hAnsi="Times New Roman" w:cs="Times New Roman"/>
          <w:sz w:val="24"/>
          <w:szCs w:val="24"/>
        </w:rPr>
        <w:t xml:space="preserve"> with a total value of at least </w:t>
      </w:r>
      <w:r>
        <w:rPr>
          <w:rFonts w:ascii="Times New Roman" w:eastAsia="Times New Roman" w:hAnsi="Times New Roman" w:cs="Times New Roman"/>
          <w:b/>
          <w:bCs/>
          <w:sz w:val="24"/>
          <w:szCs w:val="24"/>
        </w:rPr>
        <w:t>thirty million (30,000,000) Euro</w:t>
      </w:r>
      <w:r>
        <w:rPr>
          <w:rFonts w:ascii="Times New Roman" w:eastAsia="Times New Roman" w:hAnsi="Times New Roman" w:cs="Times New Roman"/>
        </w:rPr>
        <w:t>.</w:t>
      </w:r>
    </w:p>
    <w:p w14:paraId="5B088E3A" w14:textId="77777777" w:rsidR="00AF1DA2" w:rsidRDefault="00AF1DA2" w:rsidP="00AF1DA2">
      <w:pPr>
        <w:tabs>
          <w:tab w:val="left" w:pos="1134"/>
        </w:tabs>
        <w:spacing w:after="240"/>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that have been successfully and substantially completed and that are similar to the proposed Works. The similarity shall be based on the physical size, complexity, methods/technology or other characteristics as described in Section VI, Work’s Requirements.</w:t>
      </w:r>
    </w:p>
    <w:p w14:paraId="724529E6" w14:textId="77777777" w:rsidR="00AF1DA2" w:rsidRDefault="00AF1DA2" w:rsidP="00AF1DA2">
      <w:pPr>
        <w:numPr>
          <w:ilvl w:val="0"/>
          <w:numId w:val="1"/>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above or other contracts executed during the period stipulated above, a minimum experience in the following key activities: </w:t>
      </w:r>
    </w:p>
    <w:p w14:paraId="62654CCC" w14:textId="77777777" w:rsidR="00AF1DA2" w:rsidRDefault="00AF1DA2" w:rsidP="00AF1DA2">
      <w:pPr>
        <w:numPr>
          <w:ilvl w:val="0"/>
          <w:numId w:val="6"/>
        </w:numPr>
        <w:tabs>
          <w:tab w:val="left" w:pos="1134"/>
        </w:tabs>
        <w:spacing w:after="240"/>
        <w:ind w:left="1134" w:hanging="425"/>
        <w:jc w:val="both"/>
        <w:rPr>
          <w:sz w:val="24"/>
          <w:szCs w:val="24"/>
        </w:rPr>
      </w:pPr>
      <w:r>
        <w:rPr>
          <w:rFonts w:ascii="Times New Roman" w:eastAsia="Times New Roman" w:hAnsi="Times New Roman" w:cs="Times New Roman"/>
          <w:sz w:val="24"/>
          <w:szCs w:val="24"/>
        </w:rPr>
        <w:t xml:space="preserve">complete construction, installation and delivery of a minimum 30 km drinking water transmission main/water distribution network/wastewater collector/wastewater collection network/stormwater network </w:t>
      </w:r>
      <w:r>
        <w:rPr>
          <w:rFonts w:ascii="Times New Roman" w:eastAsia="Times New Roman" w:hAnsi="Times New Roman" w:cs="Times New Roman"/>
          <w:color w:val="000000"/>
          <w:sz w:val="24"/>
          <w:szCs w:val="24"/>
        </w:rPr>
        <w:t>with a minimum diameter of 400mm</w:t>
      </w:r>
      <w:r>
        <w:rPr>
          <w:rFonts w:ascii="Times New Roman" w:eastAsia="Times New Roman" w:hAnsi="Times New Roman" w:cs="Times New Roman"/>
          <w:sz w:val="24"/>
          <w:szCs w:val="24"/>
        </w:rPr>
        <w:t xml:space="preserve"> under one single contract, or, </w:t>
      </w:r>
    </w:p>
    <w:p w14:paraId="63400BD8" w14:textId="77777777" w:rsidR="00AF1DA2" w:rsidRDefault="00AF1DA2" w:rsidP="00AF1DA2">
      <w:pPr>
        <w:numPr>
          <w:ilvl w:val="0"/>
          <w:numId w:val="6"/>
        </w:numPr>
        <w:tabs>
          <w:tab w:val="left" w:pos="1134"/>
        </w:tabs>
        <w:spacing w:after="240"/>
        <w:ind w:left="1134" w:hanging="425"/>
        <w:jc w:val="both"/>
        <w:rPr>
          <w:sz w:val="24"/>
          <w:szCs w:val="24"/>
        </w:rPr>
      </w:pPr>
      <w:r>
        <w:rPr>
          <w:rFonts w:ascii="Times New Roman" w:eastAsia="Times New Roman" w:hAnsi="Times New Roman" w:cs="Times New Roman"/>
          <w:sz w:val="24"/>
          <w:szCs w:val="24"/>
        </w:rPr>
        <w:t xml:space="preserve">complete construction, installation and delivery of a minimum total of 45 km drinking water transmission main/water distribution network/wastewater collector/wastewater collection network/stormwater network </w:t>
      </w:r>
      <w:r>
        <w:rPr>
          <w:rFonts w:ascii="Times New Roman" w:eastAsia="Times New Roman" w:hAnsi="Times New Roman" w:cs="Times New Roman"/>
          <w:color w:val="000000"/>
          <w:sz w:val="24"/>
          <w:szCs w:val="24"/>
        </w:rPr>
        <w:t>with a minimum diameter of 400mm</w:t>
      </w:r>
      <w:r>
        <w:rPr>
          <w:rFonts w:ascii="Times New Roman" w:eastAsia="Times New Roman" w:hAnsi="Times New Roman" w:cs="Times New Roman"/>
          <w:sz w:val="24"/>
          <w:szCs w:val="24"/>
        </w:rPr>
        <w:t xml:space="preserve"> under two contracts.</w:t>
      </w:r>
    </w:p>
    <w:p w14:paraId="2B13403A" w14:textId="77777777" w:rsidR="00AF1DA2" w:rsidRDefault="00AF1DA2" w:rsidP="00AF1DA2">
      <w:pPr>
        <w:numPr>
          <w:ilvl w:val="0"/>
          <w:numId w:val="5"/>
        </w:numPr>
        <w:tabs>
          <w:tab w:val="left" w:pos="1134"/>
        </w:tabs>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average of annual turnovers in construction works over the </w:t>
      </w:r>
      <w:r>
        <w:rPr>
          <w:rFonts w:ascii="Times New Roman" w:eastAsia="Times New Roman" w:hAnsi="Times New Roman" w:cs="Times New Roman"/>
          <w:b/>
          <w:bCs/>
          <w:sz w:val="24"/>
          <w:szCs w:val="24"/>
        </w:rPr>
        <w:t>past five (5) financial years</w:t>
      </w:r>
      <w:r>
        <w:rPr>
          <w:rFonts w:ascii="Times New Roman" w:eastAsia="Times New Roman" w:hAnsi="Times New Roman" w:cs="Times New Roman"/>
          <w:sz w:val="24"/>
          <w:szCs w:val="24"/>
        </w:rPr>
        <w:t xml:space="preserve"> (2021-2025) shall be a minimum of </w:t>
      </w:r>
      <w:r>
        <w:rPr>
          <w:rFonts w:ascii="Times New Roman" w:eastAsia="Times New Roman" w:hAnsi="Times New Roman" w:cs="Times New Roman"/>
          <w:b/>
          <w:bCs/>
          <w:sz w:val="24"/>
          <w:szCs w:val="24"/>
        </w:rPr>
        <w:t>twenty million (20,000,000) Euro</w:t>
      </w:r>
      <w:r>
        <w:rPr>
          <w:rFonts w:ascii="Times New Roman" w:eastAsia="Times New Roman" w:hAnsi="Times New Roman" w:cs="Times New Roman"/>
          <w:sz w:val="24"/>
          <w:szCs w:val="24"/>
        </w:rPr>
        <w:t xml:space="preserve"> or equivalent.</w:t>
      </w:r>
    </w:p>
    <w:p w14:paraId="1C93B3FC" w14:textId="77777777" w:rsidR="00AF1DA2" w:rsidRDefault="00AF1DA2" w:rsidP="00AF1DA2">
      <w:pPr>
        <w:spacing w:after="24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Annual turnovers shall be verified by the documents certified by Certified (Sworn-in) Public Accountant or Tax Authority.</w:t>
      </w:r>
    </w:p>
    <w:p w14:paraId="696C85E3" w14:textId="77777777" w:rsidR="00AF1DA2" w:rsidRDefault="00AF1DA2" w:rsidP="00AF1DA2">
      <w:pPr>
        <w:numPr>
          <w:ilvl w:val="0"/>
          <w:numId w:val="4"/>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Bidder must demonstrate access to, or availability of, financial resources such as liquid assets, unencumbered real assets, lines of credit, and other financial means, other than any contractual advance payments to meet;</w:t>
      </w:r>
    </w:p>
    <w:p w14:paraId="03595047" w14:textId="77777777" w:rsidR="00AF1DA2" w:rsidRDefault="00AF1DA2" w:rsidP="00AF1DA2">
      <w:pPr>
        <w:numPr>
          <w:ilvl w:val="1"/>
          <w:numId w:val="2"/>
        </w:numPr>
        <w:spacing w:after="240"/>
        <w:ind w:hanging="305"/>
        <w:jc w:val="both"/>
        <w:rPr>
          <w:rFonts w:ascii="Times New Roman" w:eastAsia="Times New Roman" w:hAnsi="Times New Roman" w:cs="Times New Roman"/>
          <w:sz w:val="24"/>
          <w:szCs w:val="24"/>
        </w:rPr>
      </w:pPr>
      <w:bookmarkStart w:id="2" w:name="_affsl4fr44cf" w:colFirst="0" w:colLast="0"/>
      <w:bookmarkEnd w:id="2"/>
      <w:r>
        <w:rPr>
          <w:rFonts w:ascii="Times New Roman" w:eastAsia="Times New Roman" w:hAnsi="Times New Roman" w:cs="Times New Roman"/>
          <w:sz w:val="24"/>
          <w:szCs w:val="24"/>
        </w:rPr>
        <w:t xml:space="preserve">the following cash-flow requirement of </w:t>
      </w:r>
      <w:r>
        <w:rPr>
          <w:rFonts w:ascii="Times New Roman" w:eastAsia="Times New Roman" w:hAnsi="Times New Roman" w:cs="Times New Roman"/>
          <w:b/>
          <w:bCs/>
          <w:sz w:val="24"/>
          <w:szCs w:val="24"/>
        </w:rPr>
        <w:t>five million</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(5,000,000) Euro</w:t>
      </w:r>
      <w:r>
        <w:rPr>
          <w:rFonts w:ascii="Times New Roman" w:eastAsia="Times New Roman" w:hAnsi="Times New Roman" w:cs="Times New Roman"/>
          <w:sz w:val="24"/>
          <w:szCs w:val="24"/>
        </w:rPr>
        <w:t>, and</w:t>
      </w:r>
    </w:p>
    <w:p w14:paraId="14695C1B" w14:textId="77777777" w:rsidR="00AF1DA2" w:rsidRDefault="00AF1DA2" w:rsidP="00AF1DA2">
      <w:pPr>
        <w:numPr>
          <w:ilvl w:val="1"/>
          <w:numId w:val="2"/>
        </w:numPr>
        <w:spacing w:after="240"/>
        <w:ind w:hanging="3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overall cash flow requirements for this contract and its current commitments</w:t>
      </w:r>
    </w:p>
    <w:p w14:paraId="28FF4702" w14:textId="77777777" w:rsidR="00AF1DA2" w:rsidRDefault="00AF1DA2" w:rsidP="00AF1DA2">
      <w:pPr>
        <w:numPr>
          <w:ilvl w:val="0"/>
          <w:numId w:val="4"/>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audited financial statements (audited balance sheets and income tables or, if not required by the law of the tenderer’s country, other financial statements acceptable to the Employer) as well as the report of certified public (sworn) accountant for the </w:t>
      </w:r>
      <w:r>
        <w:rPr>
          <w:rFonts w:ascii="Times New Roman" w:eastAsia="Times New Roman" w:hAnsi="Times New Roman" w:cs="Times New Roman"/>
          <w:b/>
          <w:bCs/>
          <w:sz w:val="24"/>
          <w:szCs w:val="24"/>
        </w:rPr>
        <w:t>past 5 financial years</w:t>
      </w:r>
      <w:r>
        <w:rPr>
          <w:rFonts w:ascii="Times New Roman" w:eastAsia="Times New Roman" w:hAnsi="Times New Roman" w:cs="Times New Roman"/>
          <w:sz w:val="24"/>
          <w:szCs w:val="24"/>
        </w:rPr>
        <w:t xml:space="preserve"> shall be submitted and must demonstrate the soundness of the Bidder’s financial position, showing long-term profitability.</w:t>
      </w:r>
    </w:p>
    <w:p w14:paraId="6453F157" w14:textId="77777777" w:rsidR="00AF1DA2" w:rsidRDefault="00AF1DA2" w:rsidP="00AF1DA2">
      <w:pPr>
        <w:numPr>
          <w:ilvl w:val="0"/>
          <w:numId w:val="4"/>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Bidder shall provide required number of key personnel with appropriate experience and all necessary </w:t>
      </w:r>
      <w:proofErr w:type="spellStart"/>
      <w:r>
        <w:rPr>
          <w:rFonts w:ascii="Times New Roman" w:eastAsia="Times New Roman" w:hAnsi="Times New Roman" w:cs="Times New Roman"/>
          <w:sz w:val="24"/>
          <w:szCs w:val="24"/>
        </w:rPr>
        <w:t>equipments</w:t>
      </w:r>
      <w:proofErr w:type="spellEnd"/>
      <w:r>
        <w:rPr>
          <w:rFonts w:ascii="Times New Roman" w:eastAsia="Times New Roman" w:hAnsi="Times New Roman" w:cs="Times New Roman"/>
          <w:sz w:val="24"/>
          <w:szCs w:val="24"/>
        </w:rPr>
        <w:t xml:space="preserve"> for the satisfactory completion of the Works.</w:t>
      </w:r>
    </w:p>
    <w:p w14:paraId="035E79BD" w14:textId="77777777" w:rsidR="00AF1DA2" w:rsidRDefault="00AF1DA2" w:rsidP="00AF1DA2">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Firms originating from all countries of the world are eligible to tender for works, goods and services contracts. In the form of Joint Ventures, the Bidder shall submit The Joint Venture Declaration and meet the qualification criteria as well as other documentation and conditions given by Bidding Documents.  </w:t>
      </w:r>
    </w:p>
    <w:p w14:paraId="5A71070C" w14:textId="77777777" w:rsidR="00AF1DA2" w:rsidRDefault="00AF1DA2" w:rsidP="00AF1DA2">
      <w:pPr>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Interested eligible Bidders may obtain further information from, and inspect the Bidding Documents at the address of Employer given below.</w:t>
      </w:r>
    </w:p>
    <w:p w14:paraId="3D284AD3" w14:textId="77777777" w:rsidR="00AF1DA2" w:rsidRDefault="00AF1DA2" w:rsidP="00AF1DA2">
      <w:pPr>
        <w:rPr>
          <w:rFonts w:ascii="Times New Roman" w:eastAsia="Times New Roman" w:hAnsi="Times New Roman" w:cs="Times New Roman"/>
          <w:sz w:val="24"/>
          <w:szCs w:val="24"/>
        </w:rPr>
      </w:pPr>
    </w:p>
    <w:p w14:paraId="4DCB56F8" w14:textId="77777777" w:rsidR="00AF1DA2" w:rsidRDefault="00AF1DA2" w:rsidP="00AF1DA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Attn. To</w:t>
      </w: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Şanlıurfa</w:t>
      </w:r>
      <w:proofErr w:type="spellEnd"/>
      <w:r>
        <w:rPr>
          <w:rFonts w:ascii="Times New Roman" w:eastAsia="Times New Roman" w:hAnsi="Times New Roman" w:cs="Times New Roman"/>
          <w:sz w:val="24"/>
          <w:szCs w:val="24"/>
        </w:rPr>
        <w:t xml:space="preserve"> Water and Wastewater Administration</w:t>
      </w:r>
    </w:p>
    <w:p w14:paraId="0CD44B87" w14:textId="77777777" w:rsidR="00AF1DA2" w:rsidRDefault="00AF1DA2" w:rsidP="00AF1DA2">
      <w:pPr>
        <w:rPr>
          <w:rFonts w:ascii="Times New Roman" w:eastAsia="Times New Roman" w:hAnsi="Times New Roman" w:cs="Times New Roman"/>
          <w:sz w:val="24"/>
          <w:szCs w:val="24"/>
        </w:rPr>
      </w:pPr>
    </w:p>
    <w:p w14:paraId="47622EF1" w14:textId="77777777" w:rsidR="00AF1DA2" w:rsidRDefault="00AF1DA2" w:rsidP="00AF1DA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Ertuğrul Gazi Mah. </w:t>
      </w:r>
      <w:proofErr w:type="spellStart"/>
      <w:proofErr w:type="gramStart"/>
      <w:r>
        <w:rPr>
          <w:rFonts w:ascii="Times New Roman" w:eastAsia="Times New Roman" w:hAnsi="Times New Roman" w:cs="Times New Roman"/>
          <w:sz w:val="24"/>
          <w:szCs w:val="24"/>
        </w:rPr>
        <w:t>N.Fazıl</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Kısakürek</w:t>
      </w:r>
      <w:proofErr w:type="spellEnd"/>
      <w:r>
        <w:rPr>
          <w:rFonts w:ascii="Times New Roman" w:eastAsia="Times New Roman" w:hAnsi="Times New Roman" w:cs="Times New Roman"/>
          <w:sz w:val="24"/>
          <w:szCs w:val="24"/>
        </w:rPr>
        <w:t xml:space="preserve"> Cad. No:35/C </w:t>
      </w:r>
      <w:proofErr w:type="spellStart"/>
      <w:r>
        <w:rPr>
          <w:rFonts w:ascii="Times New Roman" w:eastAsia="Times New Roman" w:hAnsi="Times New Roman" w:cs="Times New Roman"/>
          <w:sz w:val="24"/>
          <w:szCs w:val="24"/>
        </w:rPr>
        <w:t>Haliliye</w:t>
      </w:r>
      <w:proofErr w:type="spellEnd"/>
      <w:r>
        <w:rPr>
          <w:rFonts w:ascii="Times New Roman" w:eastAsia="Times New Roman" w:hAnsi="Times New Roman" w:cs="Times New Roman"/>
          <w:sz w:val="24"/>
          <w:szCs w:val="24"/>
        </w:rPr>
        <w:t xml:space="preserve"> / ŞANLIURFA</w:t>
      </w:r>
    </w:p>
    <w:p w14:paraId="1CAFB689" w14:textId="77777777" w:rsidR="00AF1DA2" w:rsidRDefault="00AF1DA2" w:rsidP="00AF1DA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BFA573A" w14:textId="77777777" w:rsidR="00AF1DA2" w:rsidRDefault="00AF1DA2" w:rsidP="00AF1D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+90 (414) 318 58 00</w:t>
      </w:r>
    </w:p>
    <w:p w14:paraId="6DF0FB0C" w14:textId="77777777" w:rsidR="00AF1DA2" w:rsidRDefault="00AF1DA2" w:rsidP="00AF1DA2">
      <w:pPr>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Fax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+90 (414) 318 58 08</w:t>
      </w:r>
    </w:p>
    <w:p w14:paraId="50DBF74A" w14:textId="77777777" w:rsidR="00AF1DA2" w:rsidRDefault="00AF1DA2" w:rsidP="00AF1DA2">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E-mail</w:t>
      </w:r>
      <w:r>
        <w:rPr>
          <w:rFonts w:ascii="Times New Roman" w:eastAsia="Times New Roman" w:hAnsi="Times New Roman" w:cs="Times New Roman"/>
          <w:sz w:val="24"/>
          <w:szCs w:val="24"/>
        </w:rPr>
        <w:tab/>
        <w:t>: suski@suski.gov.tr</w:t>
      </w:r>
    </w:p>
    <w:p w14:paraId="21AABC82" w14:textId="77777777" w:rsidR="00AF1DA2" w:rsidRDefault="00AF1DA2" w:rsidP="00AF1DA2">
      <w:pPr>
        <w:tabs>
          <w:tab w:val="left" w:pos="7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Web site</w:t>
      </w:r>
      <w:r>
        <w:rPr>
          <w:rFonts w:ascii="Times New Roman" w:eastAsia="Times New Roman" w:hAnsi="Times New Roman" w:cs="Times New Roman"/>
          <w:sz w:val="24"/>
          <w:szCs w:val="24"/>
        </w:rPr>
        <w:tab/>
        <w:t xml:space="preserve">: </w:t>
      </w:r>
      <w:hyperlink r:id="rId7">
        <w:r>
          <w:rPr>
            <w:rFonts w:ascii="Times New Roman" w:eastAsia="Times New Roman" w:hAnsi="Times New Roman" w:cs="Times New Roman"/>
            <w:color w:val="0000FF"/>
            <w:sz w:val="24"/>
            <w:szCs w:val="24"/>
            <w:u w:val="single"/>
          </w:rPr>
          <w:t>www.suski.gov.tr</w:t>
        </w:r>
      </w:hyperlink>
    </w:p>
    <w:p w14:paraId="2E0E8CE9" w14:textId="77777777" w:rsidR="00AF1DA2" w:rsidRDefault="00AF1DA2" w:rsidP="00AF1DA2">
      <w:pPr>
        <w:jc w:val="both"/>
        <w:rPr>
          <w:rFonts w:ascii="Times New Roman" w:eastAsia="Times New Roman" w:hAnsi="Times New Roman" w:cs="Times New Roman"/>
          <w:sz w:val="24"/>
          <w:szCs w:val="24"/>
        </w:rPr>
      </w:pPr>
    </w:p>
    <w:p w14:paraId="7F409DA2" w14:textId="77777777" w:rsidR="00AF1DA2" w:rsidRDefault="00AF1DA2" w:rsidP="00AF1DA2">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 set of Bidding Documents may be purchased on the submission of an application to the above address, and upon payment of a non-refundable fee of </w:t>
      </w:r>
      <w:r>
        <w:rPr>
          <w:rFonts w:ascii="Times New Roman" w:eastAsia="Times New Roman" w:hAnsi="Times New Roman" w:cs="Times New Roman"/>
          <w:b/>
          <w:bCs/>
          <w:sz w:val="24"/>
          <w:szCs w:val="24"/>
        </w:rPr>
        <w:t>EUR 100,00</w:t>
      </w:r>
      <w:r>
        <w:rPr>
          <w:rFonts w:ascii="Times New Roman" w:eastAsia="Times New Roman" w:hAnsi="Times New Roman" w:cs="Times New Roman"/>
          <w:sz w:val="24"/>
          <w:szCs w:val="24"/>
        </w:rPr>
        <w:t xml:space="preserve"> to</w:t>
      </w:r>
    </w:p>
    <w:p w14:paraId="6CEC4BA1" w14:textId="77777777" w:rsidR="00AF1DA2" w:rsidRDefault="00AF1DA2" w:rsidP="00AF1DA2">
      <w:pPr>
        <w:keepNext/>
        <w:keepLines/>
        <w:pBdr>
          <w:top w:val="nil"/>
          <w:left w:val="nil"/>
          <w:bottom w:val="nil"/>
          <w:right w:val="nil"/>
          <w:between w:val="nil"/>
        </w:pBdr>
        <w:tabs>
          <w:tab w:val="left" w:pos="-72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of </w:t>
      </w:r>
      <w:proofErr w:type="gramStart"/>
      <w:r>
        <w:rPr>
          <w:rFonts w:ascii="Times New Roman" w:eastAsia="Times New Roman" w:hAnsi="Times New Roman" w:cs="Times New Roman"/>
          <w:color w:val="000000"/>
          <w:sz w:val="24"/>
          <w:szCs w:val="24"/>
        </w:rPr>
        <w:t>Bank  :</w:t>
      </w:r>
      <w:proofErr w:type="gramEnd"/>
      <w:r>
        <w:rPr>
          <w:rFonts w:ascii="Times New Roman" w:eastAsia="Times New Roman" w:hAnsi="Times New Roman" w:cs="Times New Roman"/>
          <w:color w:val="000000"/>
          <w:sz w:val="24"/>
          <w:szCs w:val="24"/>
        </w:rPr>
        <w:t xml:space="preserve"> T.C. </w:t>
      </w:r>
      <w:proofErr w:type="spellStart"/>
      <w:r>
        <w:rPr>
          <w:rFonts w:ascii="Times New Roman" w:eastAsia="Times New Roman" w:hAnsi="Times New Roman" w:cs="Times New Roman"/>
          <w:color w:val="000000"/>
          <w:sz w:val="24"/>
          <w:szCs w:val="24"/>
        </w:rPr>
        <w:t>Ziraat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Bankası</w:t>
      </w:r>
      <w:proofErr w:type="spellEnd"/>
    </w:p>
    <w:p w14:paraId="401E6263" w14:textId="77777777" w:rsidR="00AF1DA2" w:rsidRDefault="00AF1DA2" w:rsidP="00AF1DA2">
      <w:pPr>
        <w:keepNext/>
        <w:keepLines/>
        <w:pBdr>
          <w:top w:val="nil"/>
          <w:left w:val="nil"/>
          <w:bottom w:val="nil"/>
          <w:right w:val="nil"/>
          <w:between w:val="nil"/>
        </w:pBdr>
        <w:tabs>
          <w:tab w:val="left" w:pos="-72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Branch Name </w:t>
      </w:r>
      <w:proofErr w:type="gramStart"/>
      <w:r>
        <w:rPr>
          <w:rFonts w:ascii="Times New Roman" w:eastAsia="Times New Roman" w:hAnsi="Times New Roman" w:cs="Times New Roman"/>
          <w:color w:val="000000"/>
          <w:sz w:val="24"/>
          <w:szCs w:val="24"/>
        </w:rPr>
        <w:t xml:space="preserve">  :</w:t>
      </w:r>
      <w:proofErr w:type="gramEnd"/>
      <w:r>
        <w:rPr>
          <w:rFonts w:ascii="MS Mincho" w:eastAsia="MS Mincho" w:hAnsi="MS Mincho" w:cs="MS Mincho"/>
          <w:color w:val="000000"/>
        </w:rPr>
        <w:t xml:space="preserve"> </w:t>
      </w:r>
      <w:proofErr w:type="spellStart"/>
      <w:r>
        <w:rPr>
          <w:rFonts w:ascii="Times New Roman" w:eastAsia="Times New Roman" w:hAnsi="Times New Roman" w:cs="Times New Roman"/>
          <w:color w:val="000000"/>
          <w:sz w:val="24"/>
          <w:szCs w:val="24"/>
        </w:rPr>
        <w:t>Şanlıurfa</w:t>
      </w:r>
      <w:proofErr w:type="spellEnd"/>
      <w:r>
        <w:rPr>
          <w:rFonts w:ascii="Times New Roman" w:eastAsia="Times New Roman" w:hAnsi="Times New Roman" w:cs="Times New Roman"/>
          <w:color w:val="000000"/>
          <w:sz w:val="24"/>
          <w:szCs w:val="24"/>
        </w:rPr>
        <w:t xml:space="preserve"> Ticari </w:t>
      </w:r>
      <w:proofErr w:type="spellStart"/>
      <w:r>
        <w:rPr>
          <w:rFonts w:ascii="Times New Roman" w:eastAsia="Times New Roman" w:hAnsi="Times New Roman" w:cs="Times New Roman"/>
          <w:color w:val="000000"/>
          <w:sz w:val="24"/>
          <w:szCs w:val="24"/>
        </w:rPr>
        <w:t>Şube</w:t>
      </w:r>
      <w:proofErr w:type="spellEnd"/>
    </w:p>
    <w:p w14:paraId="68B15664" w14:textId="77777777" w:rsidR="00AF1DA2" w:rsidRPr="00F67D15" w:rsidRDefault="00AF1DA2" w:rsidP="00AF1DA2">
      <w:pPr>
        <w:pBdr>
          <w:top w:val="nil"/>
          <w:left w:val="nil"/>
          <w:bottom w:val="nil"/>
          <w:right w:val="nil"/>
          <w:between w:val="nil"/>
        </w:pBdr>
        <w:tabs>
          <w:tab w:val="left" w:pos="-720"/>
          <w:tab w:val="left" w:pos="72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IBAN No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TR08 0001 0022 6668 0384 6950 09</w:t>
      </w:r>
    </w:p>
    <w:p w14:paraId="764C1FC7" w14:textId="77777777" w:rsidR="00AF1DA2" w:rsidRDefault="00AF1DA2" w:rsidP="00AF1DA2">
      <w:pPr>
        <w:pBdr>
          <w:top w:val="nil"/>
          <w:left w:val="nil"/>
          <w:bottom w:val="nil"/>
          <w:right w:val="nil"/>
          <w:between w:val="nil"/>
        </w:pBdr>
        <w:tabs>
          <w:tab w:val="left" w:pos="-72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bearing the name of the project. On request, against a faxed copy of the evidence of the remittance, the digital version of the Bidding Documents may be sent by e-mail or courier service if the transport is previously ordered by the Bidder in his country. The Borrower bears no responsibility for the delivery in such a case. </w:t>
      </w:r>
    </w:p>
    <w:p w14:paraId="616C133F" w14:textId="77777777" w:rsidR="00AF1DA2" w:rsidRDefault="00AF1DA2" w:rsidP="00AF1DA2">
      <w:pPr>
        <w:pBdr>
          <w:top w:val="nil"/>
          <w:left w:val="nil"/>
          <w:bottom w:val="nil"/>
          <w:right w:val="nil"/>
          <w:between w:val="nil"/>
        </w:pBdr>
        <w:tabs>
          <w:tab w:val="left" w:pos="-72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Bids shall be valid for a period of 120 calendar days after Bid opening. </w:t>
      </w:r>
    </w:p>
    <w:p w14:paraId="0A2B3EC4" w14:textId="77777777" w:rsidR="00AF1DA2" w:rsidRDefault="00AF1DA2" w:rsidP="00AF1DA2">
      <w:pPr>
        <w:pBdr>
          <w:top w:val="nil"/>
          <w:left w:val="nil"/>
          <w:bottom w:val="nil"/>
          <w:right w:val="nil"/>
          <w:between w:val="nil"/>
        </w:pBdr>
        <w:tabs>
          <w:tab w:val="left" w:pos="-72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Bid Security not less than </w:t>
      </w:r>
      <w:r>
        <w:rPr>
          <w:rFonts w:ascii="Times New Roman" w:eastAsia="Times New Roman" w:hAnsi="Times New Roman" w:cs="Times New Roman"/>
          <w:b/>
          <w:bCs/>
          <w:color w:val="000000"/>
          <w:sz w:val="24"/>
          <w:szCs w:val="24"/>
        </w:rPr>
        <w:t>EUR 900,000.00</w:t>
      </w:r>
      <w:r>
        <w:rPr>
          <w:rFonts w:ascii="Times New Roman" w:eastAsia="Times New Roman" w:hAnsi="Times New Roman" w:cs="Times New Roman"/>
          <w:color w:val="000000"/>
          <w:sz w:val="24"/>
          <w:szCs w:val="24"/>
        </w:rPr>
        <w:t xml:space="preserve"> (nine hundred thousand Euros) or its equivalent</w:t>
      </w:r>
      <w:r>
        <w:rPr>
          <w:color w:val="000000"/>
          <w:vertAlign w:val="superscript"/>
        </w:rPr>
        <w:footnoteReference w:id="1"/>
      </w:r>
      <w:r>
        <w:rPr>
          <w:rFonts w:ascii="Times New Roman" w:eastAsia="Times New Roman" w:hAnsi="Times New Roman" w:cs="Times New Roman"/>
          <w:color w:val="000000"/>
          <w:sz w:val="24"/>
          <w:szCs w:val="24"/>
        </w:rPr>
        <w:t xml:space="preserve"> fulfilling the conditions indicated in the Bidding Documents must accompany all bids.</w:t>
      </w:r>
    </w:p>
    <w:p w14:paraId="3813A7BE" w14:textId="77777777" w:rsidR="00AF1DA2" w:rsidRDefault="00AF1DA2" w:rsidP="00AF1DA2">
      <w:pPr>
        <w:pBdr>
          <w:top w:val="nil"/>
          <w:left w:val="nil"/>
          <w:bottom w:val="nil"/>
          <w:right w:val="nil"/>
          <w:between w:val="nil"/>
        </w:pBdr>
        <w:tabs>
          <w:tab w:val="left" w:pos="-72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bids must be delivered in closed envelops bearing the mention “Construction of </w:t>
      </w:r>
      <w:proofErr w:type="spellStart"/>
      <w:r>
        <w:rPr>
          <w:rFonts w:ascii="Times New Roman" w:eastAsia="Times New Roman" w:hAnsi="Times New Roman" w:cs="Times New Roman"/>
          <w:color w:val="000000"/>
          <w:sz w:val="24"/>
          <w:szCs w:val="24"/>
        </w:rPr>
        <w:t>Akçakale</w:t>
      </w:r>
      <w:proofErr w:type="spellEnd"/>
      <w:r>
        <w:rPr>
          <w:rFonts w:ascii="Times New Roman" w:eastAsia="Times New Roman" w:hAnsi="Times New Roman" w:cs="Times New Roman"/>
          <w:color w:val="000000"/>
          <w:sz w:val="24"/>
          <w:szCs w:val="24"/>
        </w:rPr>
        <w:t xml:space="preserve">-Harran Drinking Water Transmission Line (URF-AKH-W01)” not later than </w:t>
      </w:r>
      <w:proofErr w:type="gramStart"/>
      <w:r w:rsidRPr="009D60F7">
        <w:rPr>
          <w:rFonts w:ascii="Times New Roman" w:eastAsia="Times New Roman" w:hAnsi="Times New Roman" w:cs="Times New Roman"/>
          <w:b/>
          <w:bCs/>
          <w:color w:val="000000"/>
          <w:sz w:val="24"/>
          <w:szCs w:val="24"/>
        </w:rPr>
        <w:t>08.10</w:t>
      </w:r>
      <w:r>
        <w:rPr>
          <w:rFonts w:ascii="Times New Roman" w:eastAsia="Times New Roman" w:hAnsi="Times New Roman" w:cs="Times New Roman"/>
          <w:b/>
          <w:bCs/>
          <w:color w:val="000000"/>
          <w:sz w:val="24"/>
          <w:szCs w:val="24"/>
        </w:rPr>
        <w:t>.2026  (</w:t>
      </w:r>
      <w:proofErr w:type="gramEnd"/>
      <w:r>
        <w:rPr>
          <w:rFonts w:ascii="Times New Roman" w:eastAsia="Times New Roman" w:hAnsi="Times New Roman" w:cs="Times New Roman"/>
          <w:b/>
          <w:bCs/>
          <w:color w:val="000000"/>
          <w:sz w:val="24"/>
          <w:szCs w:val="24"/>
        </w:rPr>
        <w:t>local time), 14:00</w:t>
      </w:r>
      <w:r>
        <w:rPr>
          <w:rFonts w:ascii="Times New Roman" w:eastAsia="Times New Roman" w:hAnsi="Times New Roman" w:cs="Times New Roman"/>
          <w:color w:val="000000"/>
          <w:sz w:val="24"/>
          <w:szCs w:val="24"/>
        </w:rPr>
        <w:t xml:space="preserve"> at the following address:</w:t>
      </w:r>
    </w:p>
    <w:p w14:paraId="6516E2E3" w14:textId="77777777" w:rsidR="00AF1DA2" w:rsidRDefault="00AF1DA2" w:rsidP="00AF1DA2">
      <w:pPr>
        <w:rPr>
          <w:rFonts w:ascii="Times New Roman" w:eastAsia="Times New Roman" w:hAnsi="Times New Roman" w:cs="Times New Roman"/>
          <w:sz w:val="24"/>
          <w:szCs w:val="24"/>
        </w:rPr>
      </w:pPr>
      <w:r>
        <w:rPr>
          <w:rFonts w:ascii="Times New Roman" w:eastAsia="Times New Roman" w:hAnsi="Times New Roman" w:cs="Times New Roman"/>
          <w:sz w:val="24"/>
          <w:szCs w:val="24"/>
        </w:rPr>
        <w:t>Attn. To</w:t>
      </w: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Şanlıurfa</w:t>
      </w:r>
      <w:proofErr w:type="spellEnd"/>
      <w:r>
        <w:rPr>
          <w:rFonts w:ascii="Times New Roman" w:eastAsia="Times New Roman" w:hAnsi="Times New Roman" w:cs="Times New Roman"/>
          <w:sz w:val="24"/>
          <w:szCs w:val="24"/>
        </w:rPr>
        <w:t xml:space="preserve"> Water and Wastewater Administration</w:t>
      </w:r>
    </w:p>
    <w:p w14:paraId="3A0B0784" w14:textId="77777777" w:rsidR="00AF1DA2" w:rsidRDefault="00AF1DA2" w:rsidP="00AF1DA2">
      <w:pPr>
        <w:rPr>
          <w:rFonts w:ascii="Times New Roman" w:eastAsia="Times New Roman" w:hAnsi="Times New Roman" w:cs="Times New Roman"/>
          <w:sz w:val="24"/>
          <w:szCs w:val="24"/>
        </w:rPr>
      </w:pPr>
    </w:p>
    <w:p w14:paraId="542C1FC1" w14:textId="77777777" w:rsidR="00AF1DA2" w:rsidRDefault="00AF1DA2" w:rsidP="00AF1DA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Ertuğrul Gazi Mah. N. Fazıl </w:t>
      </w:r>
      <w:proofErr w:type="spellStart"/>
      <w:r>
        <w:rPr>
          <w:rFonts w:ascii="Times New Roman" w:eastAsia="Times New Roman" w:hAnsi="Times New Roman" w:cs="Times New Roman"/>
          <w:sz w:val="24"/>
          <w:szCs w:val="24"/>
        </w:rPr>
        <w:t>Kısakürek</w:t>
      </w:r>
      <w:proofErr w:type="spellEnd"/>
      <w:r>
        <w:rPr>
          <w:rFonts w:ascii="Times New Roman" w:eastAsia="Times New Roman" w:hAnsi="Times New Roman" w:cs="Times New Roman"/>
          <w:sz w:val="24"/>
          <w:szCs w:val="24"/>
        </w:rPr>
        <w:t xml:space="preserve"> Cad. No:35/C </w:t>
      </w:r>
      <w:proofErr w:type="spellStart"/>
      <w:r>
        <w:rPr>
          <w:rFonts w:ascii="Times New Roman" w:eastAsia="Times New Roman" w:hAnsi="Times New Roman" w:cs="Times New Roman"/>
          <w:sz w:val="24"/>
          <w:szCs w:val="24"/>
        </w:rPr>
        <w:t>Haliliye</w:t>
      </w:r>
      <w:proofErr w:type="spellEnd"/>
      <w:r>
        <w:rPr>
          <w:rFonts w:ascii="Times New Roman" w:eastAsia="Times New Roman" w:hAnsi="Times New Roman" w:cs="Times New Roman"/>
          <w:sz w:val="24"/>
          <w:szCs w:val="24"/>
        </w:rPr>
        <w:t>/ŞANLIURFAH</w:t>
      </w:r>
    </w:p>
    <w:p w14:paraId="3BCB0FEC" w14:textId="77777777" w:rsidR="00AF1DA2" w:rsidRDefault="00AF1DA2" w:rsidP="00AF1DA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2E9E48" w14:textId="77777777" w:rsidR="00AF1DA2" w:rsidRDefault="00AF1DA2" w:rsidP="00AF1D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+90 (414) 318 58 00</w:t>
      </w:r>
    </w:p>
    <w:p w14:paraId="2F7B3049" w14:textId="77777777" w:rsidR="00AF1DA2" w:rsidRDefault="00AF1DA2" w:rsidP="00AF1DA2">
      <w:pPr>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Fax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+90 (414) 318 58 08</w:t>
      </w:r>
    </w:p>
    <w:p w14:paraId="23F82B60" w14:textId="77777777" w:rsidR="00AF1DA2" w:rsidRDefault="00AF1DA2" w:rsidP="00AF1DA2">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E-mail</w:t>
      </w:r>
      <w:r>
        <w:rPr>
          <w:rFonts w:ascii="Times New Roman" w:eastAsia="Times New Roman" w:hAnsi="Times New Roman" w:cs="Times New Roman"/>
          <w:sz w:val="24"/>
          <w:szCs w:val="24"/>
        </w:rPr>
        <w:tab/>
        <w:t>: suski@suski.gov.tr</w:t>
      </w:r>
    </w:p>
    <w:p w14:paraId="02A4C6F7" w14:textId="77777777" w:rsidR="00AF1DA2" w:rsidRDefault="00AF1DA2" w:rsidP="00AF1DA2">
      <w:pPr>
        <w:tabs>
          <w:tab w:val="left" w:pos="7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Web site</w:t>
      </w:r>
      <w:r>
        <w:rPr>
          <w:rFonts w:ascii="Times New Roman" w:eastAsia="Times New Roman" w:hAnsi="Times New Roman" w:cs="Times New Roman"/>
          <w:sz w:val="24"/>
          <w:szCs w:val="24"/>
        </w:rPr>
        <w:tab/>
        <w:t xml:space="preserve">: </w:t>
      </w:r>
      <w:hyperlink r:id="rId8">
        <w:r>
          <w:rPr>
            <w:rFonts w:ascii="Times New Roman" w:eastAsia="Times New Roman" w:hAnsi="Times New Roman" w:cs="Times New Roman"/>
            <w:color w:val="0000FF"/>
            <w:sz w:val="24"/>
            <w:szCs w:val="24"/>
            <w:u w:val="single"/>
          </w:rPr>
          <w:t>www.suski.gov.tr</w:t>
        </w:r>
      </w:hyperlink>
    </w:p>
    <w:p w14:paraId="067190FB" w14:textId="77777777" w:rsidR="00AF1DA2" w:rsidRDefault="00AF1DA2" w:rsidP="00AF1DA2">
      <w:pPr>
        <w:pBdr>
          <w:top w:val="nil"/>
          <w:left w:val="nil"/>
          <w:bottom w:val="nil"/>
          <w:right w:val="nil"/>
          <w:between w:val="nil"/>
        </w:pBdr>
        <w:tabs>
          <w:tab w:val="left" w:pos="-720"/>
        </w:tabs>
        <w:spacing w:line="360" w:lineRule="auto"/>
        <w:jc w:val="both"/>
        <w:rPr>
          <w:rFonts w:ascii="Times New Roman" w:eastAsia="Times New Roman" w:hAnsi="Times New Roman" w:cs="Times New Roman"/>
          <w:color w:val="000000"/>
          <w:sz w:val="24"/>
          <w:szCs w:val="24"/>
        </w:rPr>
      </w:pPr>
    </w:p>
    <w:p w14:paraId="4DD396D8" w14:textId="77777777" w:rsidR="00AF1DA2" w:rsidRDefault="00AF1DA2" w:rsidP="00AF1DA2">
      <w:pPr>
        <w:spacing w:line="276" w:lineRule="auto"/>
        <w:rPr>
          <w:rFonts w:ascii="Times New Roman" w:eastAsia="Times New Roman" w:hAnsi="Times New Roman" w:cs="Times New Roman"/>
          <w:sz w:val="24"/>
          <w:szCs w:val="24"/>
        </w:rPr>
      </w:pPr>
    </w:p>
    <w:p w14:paraId="494ECD00" w14:textId="77777777" w:rsidR="00AF1DA2" w:rsidRDefault="00AF1DA2" w:rsidP="00AF1DA2">
      <w:pPr>
        <w:spacing w:before="120"/>
        <w:jc w:val="both"/>
        <w:rPr>
          <w:rFonts w:ascii="Times New Roman" w:eastAsia="Times New Roman" w:hAnsi="Times New Roman" w:cs="Times New Roman"/>
          <w:sz w:val="24"/>
          <w:szCs w:val="24"/>
        </w:rPr>
      </w:pPr>
    </w:p>
    <w:p w14:paraId="711F4F6C" w14:textId="6D6A2B68" w:rsidR="00D7494D" w:rsidRDefault="00AF1DA2" w:rsidP="00F2646E">
      <w:pPr>
        <w:pBdr>
          <w:top w:val="nil"/>
          <w:left w:val="nil"/>
          <w:bottom w:val="nil"/>
          <w:right w:val="nil"/>
          <w:between w:val="nil"/>
        </w:pBdr>
        <w:jc w:val="both"/>
      </w:pPr>
      <w:r>
        <w:rPr>
          <w:rFonts w:ascii="Times New Roman" w:eastAsia="Times New Roman" w:hAnsi="Times New Roman" w:cs="Times New Roman"/>
          <w:color w:val="000000"/>
          <w:sz w:val="24"/>
          <w:szCs w:val="24"/>
        </w:rPr>
        <w:t xml:space="preserve">Bids will be opened immediately in the presence of Bidders’ representatives who choose to attend. Late bids will be rejected and returned unopened to the bidders. This procurement follows the open procedure as per EIB Guide to procurement, which can be accessed following the link  </w:t>
      </w:r>
    </w:p>
    <w:sectPr w:rsidR="00D7494D" w:rsidSect="00F2646E">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418"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D445A" w14:textId="77777777" w:rsidR="00AF1DA2" w:rsidRDefault="00AF1DA2" w:rsidP="00AF1DA2">
      <w:r>
        <w:separator/>
      </w:r>
    </w:p>
  </w:endnote>
  <w:endnote w:type="continuationSeparator" w:id="0">
    <w:p w14:paraId="063F6A17" w14:textId="77777777" w:rsidR="00AF1DA2" w:rsidRDefault="00AF1DA2" w:rsidP="00AF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A151D" w14:textId="77777777" w:rsidR="00AF1DA2" w:rsidRDefault="00AF1DA2">
    <w:pPr>
      <w:widowControl w:val="0"/>
      <w:pBdr>
        <w:top w:val="nil"/>
        <w:left w:val="nil"/>
        <w:bottom w:val="nil"/>
        <w:right w:val="nil"/>
        <w:between w:val="nil"/>
      </w:pBdr>
      <w:spacing w:line="276" w:lineRule="auto"/>
      <w:rPr>
        <w:color w:val="000000"/>
        <w:sz w:val="18"/>
        <w:szCs w:val="18"/>
      </w:rPr>
    </w:pPr>
  </w:p>
  <w:tbl>
    <w:tblPr>
      <w:tblW w:w="9498" w:type="dxa"/>
      <w:tblInd w:w="108" w:type="dxa"/>
      <w:tblBorders>
        <w:top w:val="single" w:sz="4" w:space="0" w:color="000000"/>
      </w:tblBorders>
      <w:tblLayout w:type="fixed"/>
      <w:tblLook w:val="0000" w:firstRow="0" w:lastRow="0" w:firstColumn="0" w:lastColumn="0" w:noHBand="0" w:noVBand="0"/>
    </w:tblPr>
    <w:tblGrid>
      <w:gridCol w:w="3011"/>
      <w:gridCol w:w="3827"/>
      <w:gridCol w:w="2660"/>
    </w:tblGrid>
    <w:tr w:rsidR="00AF1DA2" w14:paraId="241E3A60" w14:textId="77777777">
      <w:trPr>
        <w:cantSplit/>
        <w:trHeight w:val="273"/>
      </w:trPr>
      <w:tc>
        <w:tcPr>
          <w:tcW w:w="3011" w:type="dxa"/>
          <w:vAlign w:val="center"/>
        </w:tcPr>
        <w:p w14:paraId="13F8BAF3" w14:textId="77777777" w:rsidR="00AF1DA2" w:rsidRDefault="00AF1DA2">
          <w:pPr>
            <w:pBdr>
              <w:top w:val="nil"/>
              <w:left w:val="nil"/>
              <w:bottom w:val="nil"/>
              <w:right w:val="nil"/>
              <w:between w:val="nil"/>
            </w:pBdr>
            <w:tabs>
              <w:tab w:val="left" w:pos="360"/>
              <w:tab w:val="right" w:pos="9000"/>
            </w:tabs>
            <w:rPr>
              <w:color w:val="000000"/>
            </w:rPr>
          </w:pPr>
        </w:p>
      </w:tc>
      <w:tc>
        <w:tcPr>
          <w:tcW w:w="3827" w:type="dxa"/>
          <w:vAlign w:val="center"/>
        </w:tcPr>
        <w:p w14:paraId="4828C5B5" w14:textId="77777777" w:rsidR="00AF1DA2" w:rsidRDefault="00AF1DA2">
          <w:pPr>
            <w:pBdr>
              <w:top w:val="nil"/>
              <w:left w:val="nil"/>
              <w:bottom w:val="nil"/>
              <w:right w:val="nil"/>
              <w:between w:val="nil"/>
            </w:pBdr>
            <w:tabs>
              <w:tab w:val="left" w:pos="360"/>
              <w:tab w:val="right" w:pos="9000"/>
            </w:tabs>
            <w:jc w:val="center"/>
            <w:rPr>
              <w:color w:val="000000"/>
            </w:rPr>
          </w:pPr>
          <w:r>
            <w:rPr>
              <w:color w:val="000000"/>
            </w:rPr>
            <w:t>Request for Bids for Works</w:t>
          </w:r>
        </w:p>
      </w:tc>
      <w:tc>
        <w:tcPr>
          <w:tcW w:w="2660" w:type="dxa"/>
          <w:vAlign w:val="center"/>
        </w:tcPr>
        <w:p w14:paraId="5F358AE4" w14:textId="77777777" w:rsidR="00AF1DA2" w:rsidRDefault="00AF1DA2">
          <w:pPr>
            <w:pBdr>
              <w:top w:val="nil"/>
              <w:left w:val="nil"/>
              <w:bottom w:val="nil"/>
              <w:right w:val="nil"/>
              <w:between w:val="nil"/>
            </w:pBdr>
            <w:tabs>
              <w:tab w:val="left" w:pos="360"/>
              <w:tab w:val="right" w:pos="9000"/>
            </w:tabs>
            <w:jc w:val="right"/>
            <w:rPr>
              <w:color w:val="000000"/>
            </w:rPr>
          </w:pPr>
          <w:r>
            <w:rPr>
              <w:color w:val="000000"/>
            </w:rPr>
            <w:t xml:space="preserve">Page </w:t>
          </w:r>
          <w:r>
            <w:rPr>
              <w:color w:val="000000"/>
            </w:rPr>
            <w:fldChar w:fldCharType="begin"/>
          </w:r>
          <w:r>
            <w:rPr>
              <w:color w:val="000000"/>
            </w:rPr>
            <w:instrText>PAGE</w:instrText>
          </w:r>
          <w:r w:rsidR="00F2646E">
            <w:rPr>
              <w:color w:val="000000"/>
            </w:rPr>
            <w:fldChar w:fldCharType="separate"/>
          </w:r>
          <w:r>
            <w:rPr>
              <w:color w:val="000000"/>
            </w:rPr>
            <w:fldChar w:fldCharType="end"/>
          </w:r>
        </w:p>
      </w:tc>
    </w:tr>
    <w:tr w:rsidR="00AF1DA2" w14:paraId="409DEF6D" w14:textId="77777777">
      <w:trPr>
        <w:cantSplit/>
        <w:trHeight w:val="296"/>
      </w:trPr>
      <w:tc>
        <w:tcPr>
          <w:tcW w:w="3011" w:type="dxa"/>
        </w:tcPr>
        <w:p w14:paraId="36B23DC8" w14:textId="77777777" w:rsidR="00AF1DA2" w:rsidRDefault="00AF1DA2">
          <w:pPr>
            <w:pBdr>
              <w:top w:val="nil"/>
              <w:left w:val="nil"/>
              <w:bottom w:val="nil"/>
              <w:right w:val="nil"/>
              <w:between w:val="nil"/>
            </w:pBdr>
            <w:tabs>
              <w:tab w:val="left" w:pos="360"/>
              <w:tab w:val="right" w:pos="9000"/>
            </w:tabs>
            <w:rPr>
              <w:color w:val="000000"/>
            </w:rPr>
          </w:pPr>
        </w:p>
      </w:tc>
      <w:tc>
        <w:tcPr>
          <w:tcW w:w="3827" w:type="dxa"/>
          <w:vAlign w:val="center"/>
        </w:tcPr>
        <w:p w14:paraId="6EF8F161" w14:textId="77777777" w:rsidR="00AF1DA2" w:rsidRDefault="00AF1DA2">
          <w:pPr>
            <w:pBdr>
              <w:top w:val="nil"/>
              <w:left w:val="nil"/>
              <w:bottom w:val="nil"/>
              <w:right w:val="nil"/>
              <w:between w:val="nil"/>
            </w:pBdr>
            <w:tabs>
              <w:tab w:val="left" w:pos="360"/>
              <w:tab w:val="right" w:pos="9000"/>
            </w:tabs>
            <w:jc w:val="center"/>
            <w:rPr>
              <w:color w:val="000000"/>
            </w:rPr>
          </w:pPr>
          <w:r>
            <w:rPr>
              <w:color w:val="000000"/>
            </w:rPr>
            <w:t>Instruction to Bidders (ITB)</w:t>
          </w:r>
        </w:p>
      </w:tc>
      <w:tc>
        <w:tcPr>
          <w:tcW w:w="2660" w:type="dxa"/>
          <w:vAlign w:val="center"/>
        </w:tcPr>
        <w:p w14:paraId="5F50FA44" w14:textId="77777777" w:rsidR="00AF1DA2" w:rsidRDefault="00AF1DA2">
          <w:pPr>
            <w:pBdr>
              <w:top w:val="nil"/>
              <w:left w:val="nil"/>
              <w:bottom w:val="nil"/>
              <w:right w:val="nil"/>
              <w:between w:val="nil"/>
            </w:pBdr>
            <w:tabs>
              <w:tab w:val="left" w:pos="360"/>
              <w:tab w:val="right" w:pos="9000"/>
            </w:tabs>
            <w:jc w:val="right"/>
            <w:rPr>
              <w:color w:val="000000"/>
            </w:rPr>
          </w:pPr>
        </w:p>
      </w:tc>
    </w:tr>
  </w:tbl>
  <w:p w14:paraId="05F6F195" w14:textId="77777777" w:rsidR="00AF1DA2" w:rsidRDefault="00AF1DA2">
    <w:pPr>
      <w:pBdr>
        <w:top w:val="nil"/>
        <w:left w:val="nil"/>
        <w:bottom w:val="nil"/>
        <w:right w:val="nil"/>
        <w:between w:val="nil"/>
      </w:pBdr>
      <w:tabs>
        <w:tab w:val="left" w:pos="360"/>
        <w:tab w:val="right" w:pos="900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F1569" w14:textId="77777777" w:rsidR="00AF1DA2" w:rsidRDefault="00AF1DA2">
    <w:pPr>
      <w:pBdr>
        <w:top w:val="nil"/>
        <w:left w:val="nil"/>
        <w:bottom w:val="nil"/>
        <w:right w:val="nil"/>
        <w:between w:val="nil"/>
      </w:pBdr>
      <w:tabs>
        <w:tab w:val="left" w:pos="360"/>
        <w:tab w:val="right" w:pos="9000"/>
      </w:tabs>
      <w:rPr>
        <w:color w:val="000000"/>
      </w:rPr>
    </w:pPr>
    <w:bookmarkStart w:id="3" w:name="d0evkg29nxgb" w:colFirst="0" w:colLast="0"/>
    <w:bookmarkEnd w:id="3"/>
    <w:r>
      <w:rPr>
        <w:color w:val="000000"/>
        <w:sz w:val="17"/>
        <w:szCs w:val="17"/>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6CC52" w14:textId="77777777" w:rsidR="00AF1DA2" w:rsidRDefault="00AF1DA2">
    <w:pPr>
      <w:pBdr>
        <w:top w:val="nil"/>
        <w:left w:val="nil"/>
        <w:bottom w:val="nil"/>
        <w:right w:val="nil"/>
        <w:between w:val="nil"/>
      </w:pBdr>
      <w:tabs>
        <w:tab w:val="left" w:pos="360"/>
        <w:tab w:val="right" w:pos="900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9E775" w14:textId="77777777" w:rsidR="00AF1DA2" w:rsidRDefault="00AF1DA2" w:rsidP="00AF1DA2">
      <w:r>
        <w:separator/>
      </w:r>
    </w:p>
  </w:footnote>
  <w:footnote w:type="continuationSeparator" w:id="0">
    <w:p w14:paraId="6686874C" w14:textId="77777777" w:rsidR="00AF1DA2" w:rsidRDefault="00AF1DA2" w:rsidP="00AF1DA2">
      <w:r>
        <w:continuationSeparator/>
      </w:r>
    </w:p>
  </w:footnote>
  <w:footnote w:id="1">
    <w:p w14:paraId="27D07ED9" w14:textId="77777777" w:rsidR="00AF1DA2" w:rsidRDefault="00AF1DA2" w:rsidP="00AF1DA2">
      <w:pPr>
        <w:pBdr>
          <w:top w:val="nil"/>
          <w:left w:val="nil"/>
          <w:bottom w:val="nil"/>
          <w:right w:val="nil"/>
          <w:between w:val="nil"/>
        </w:pBdr>
        <w:tabs>
          <w:tab w:val="left" w:pos="-720"/>
        </w:tabs>
        <w:jc w:val="both"/>
        <w:rPr>
          <w:rFonts w:ascii="MS Mincho" w:eastAsia="MS Mincho" w:hAnsi="MS Mincho" w:cs="MS Mincho"/>
          <w:color w:val="000000"/>
          <w:sz w:val="20"/>
          <w:szCs w:val="20"/>
        </w:rPr>
      </w:pPr>
      <w:r>
        <w:rPr>
          <w:vertAlign w:val="superscript"/>
        </w:rPr>
        <w:footnoteRef/>
      </w:r>
      <w:r>
        <w:rPr>
          <w:rFonts w:ascii="MS Mincho" w:eastAsia="MS Mincho" w:hAnsi="MS Mincho" w:cs="MS Mincho"/>
          <w:color w:val="000000"/>
          <w:sz w:val="20"/>
          <w:szCs w:val="20"/>
        </w:rPr>
        <w:t xml:space="preserve"> </w:t>
      </w:r>
      <w:r>
        <w:rPr>
          <w:rFonts w:ascii="Times New Roman" w:eastAsia="Times New Roman" w:hAnsi="Times New Roman" w:cs="Times New Roman"/>
          <w:color w:val="000000"/>
          <w:sz w:val="20"/>
          <w:szCs w:val="20"/>
        </w:rPr>
        <w:t>For the conversion of the bid security amount, the exchange rates to be applied shall be the foreign currency selling rates established for similar transactions and officially announced by the Central Bank of the Republic of Türkiye at 15:30 hours on the relevant date. The applicable exchange rate date shall be the last business day falling twenty-eight (28) days prior to the bid opening date. The exchange rates of the Central Bank can be found at www.tcmb.gov.tr."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E8F4C" w14:textId="77777777" w:rsidR="00AF1DA2" w:rsidRDefault="00AF1DA2">
    <w:pPr>
      <w:widowControl w:val="0"/>
      <w:pBdr>
        <w:top w:val="nil"/>
        <w:left w:val="nil"/>
        <w:bottom w:val="nil"/>
        <w:right w:val="nil"/>
        <w:between w:val="nil"/>
      </w:pBdr>
      <w:spacing w:line="276" w:lineRule="auto"/>
      <w:rPr>
        <w:rFonts w:ascii="MS Mincho" w:eastAsia="MS Mincho" w:hAnsi="MS Mincho" w:cs="MS Mincho"/>
        <w:color w:val="000000"/>
        <w:sz w:val="20"/>
        <w:szCs w:val="20"/>
      </w:rPr>
    </w:pPr>
    <w:r>
      <w:rPr>
        <w:rFonts w:ascii="MS Mincho" w:eastAsia="MS Mincho" w:hAnsi="MS Mincho" w:cs="MS Mincho"/>
        <w:noProof/>
        <w:color w:val="000000"/>
        <w:sz w:val="20"/>
        <w:szCs w:val="20"/>
      </w:rPr>
      <mc:AlternateContent>
        <mc:Choice Requires="wps">
          <w:drawing>
            <wp:anchor distT="0" distB="0" distL="0" distR="0" simplePos="0" relativeHeight="251661312" behindDoc="0" locked="0" layoutInCell="1" hidden="0" allowOverlap="1" wp14:anchorId="1E5CABB9" wp14:editId="6434914D">
              <wp:simplePos x="0" y="0"/>
              <wp:positionH relativeFrom="page">
                <wp:align>center</wp:align>
              </wp:positionH>
              <wp:positionV relativeFrom="page">
                <wp:align>top</wp:align>
              </wp:positionV>
              <wp:extent cx="810260" cy="354965"/>
              <wp:effectExtent l="0" t="0" r="0" b="0"/>
              <wp:wrapNone/>
              <wp:docPr id="2" name="Dikdörtgen 2" descr="Corporate Use"/>
              <wp:cNvGraphicFramePr/>
              <a:graphic xmlns:a="http://schemas.openxmlformats.org/drawingml/2006/main">
                <a:graphicData uri="http://schemas.microsoft.com/office/word/2010/wordprocessingShape">
                  <wps:wsp>
                    <wps:cNvSpPr/>
                    <wps:spPr>
                      <a:xfrm>
                        <a:off x="4945633" y="3607280"/>
                        <a:ext cx="800735" cy="345440"/>
                      </a:xfrm>
                      <a:prstGeom prst="rect">
                        <a:avLst/>
                      </a:prstGeom>
                      <a:noFill/>
                      <a:ln>
                        <a:noFill/>
                      </a:ln>
                    </wps:spPr>
                    <wps:txbx>
                      <w:txbxContent>
                        <w:p w14:paraId="049F1E02" w14:textId="77777777" w:rsidR="00AF1DA2" w:rsidRDefault="00AF1DA2">
                          <w:pPr>
                            <w:textDirection w:val="btLr"/>
                          </w:pPr>
                          <w:r>
                            <w:rPr>
                              <w:rFonts w:ascii="Aptos" w:eastAsia="Aptos" w:hAnsi="Aptos" w:cs="Aptos"/>
                              <w:color w:val="808080"/>
                              <w:sz w:val="20"/>
                            </w:rPr>
                            <w:t>Corporate Use</w:t>
                          </w:r>
                        </w:p>
                      </w:txbxContent>
                    </wps:txbx>
                    <wps:bodyPr spcFirstLastPara="1" wrap="square" lIns="0" tIns="190500" rIns="0" bIns="0" anchor="t" anchorCtr="0">
                      <a:noAutofit/>
                    </wps:bodyPr>
                  </wps:wsp>
                </a:graphicData>
              </a:graphic>
            </wp:anchor>
          </w:drawing>
        </mc:Choice>
        <mc:Fallback>
          <w:pict>
            <v:rect w14:anchorId="1E5CABB9" id="Dikdörtgen 2" o:spid="_x0000_s1026" alt="Corporate Use" style="position:absolute;margin-left:0;margin-top:0;width:63.8pt;height:27.95pt;z-index:25166131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" filled="f" stroked="f">
              <v:textbox inset="0,15pt,0,0">
                <w:txbxContent>
                  <w:p w14:paraId="049F1E02" w14:textId="77777777" w:rsidR="00AF1DA2" w:rsidRDefault="00AF1DA2">
                    <w:pPr>
                      <w:textDirection w:val="btLr"/>
                    </w:pPr>
                    <w:r>
                      <w:rPr>
                        <w:rFonts w:ascii="Aptos" w:eastAsia="Aptos" w:hAnsi="Aptos" w:cs="Aptos"/>
                        <w:color w:val="808080"/>
                        <w:sz w:val="20"/>
                      </w:rPr>
                      <w:t>Corporate Use</w:t>
                    </w:r>
                  </w:p>
                </w:txbxContent>
              </v:textbox>
              <w10:wrap anchorx="page" anchory="page"/>
            </v:rect>
          </w:pict>
        </mc:Fallback>
      </mc:AlternateContent>
    </w:r>
  </w:p>
  <w:tbl>
    <w:tblPr>
      <w:tblW w:w="9606" w:type="dxa"/>
      <w:jc w:val="center"/>
      <w:tblBorders>
        <w:top w:val="single" w:sz="4" w:space="0" w:color="000000"/>
        <w:bottom w:val="single" w:sz="4" w:space="0" w:color="000000"/>
        <w:insideV w:val="single" w:sz="4" w:space="0" w:color="000000"/>
      </w:tblBorders>
      <w:tblLayout w:type="fixed"/>
      <w:tblLook w:val="0400" w:firstRow="0" w:lastRow="0" w:firstColumn="0" w:lastColumn="0" w:noHBand="0" w:noVBand="1"/>
    </w:tblPr>
    <w:tblGrid>
      <w:gridCol w:w="9606"/>
    </w:tblGrid>
    <w:tr w:rsidR="00AF1DA2" w14:paraId="56934659" w14:textId="77777777">
      <w:trPr>
        <w:jc w:val="center"/>
      </w:trPr>
      <w:tc>
        <w:tcPr>
          <w:tcW w:w="9606" w:type="dxa"/>
        </w:tcPr>
        <w:p w14:paraId="20DC255C" w14:textId="77777777" w:rsidR="00AF1DA2" w:rsidRDefault="00AF1DA2">
          <w:pPr>
            <w:pBdr>
              <w:top w:val="nil"/>
              <w:left w:val="nil"/>
              <w:bottom w:val="nil"/>
              <w:right w:val="nil"/>
              <w:between w:val="nil"/>
            </w:pBdr>
            <w:tabs>
              <w:tab w:val="left" w:pos="360"/>
              <w:tab w:val="left" w:pos="7560"/>
              <w:tab w:val="left" w:pos="8280"/>
              <w:tab w:val="left" w:pos="9000"/>
              <w:tab w:val="left" w:pos="3417"/>
            </w:tabs>
            <w:jc w:val="center"/>
            <w:rPr>
              <w:color w:val="000000"/>
            </w:rPr>
          </w:pPr>
          <w:r>
            <w:rPr>
              <w:color w:val="000000"/>
            </w:rPr>
            <w:t>Kilis Municipality</w:t>
          </w:r>
        </w:p>
        <w:p w14:paraId="38921097" w14:textId="77777777" w:rsidR="00AF1DA2" w:rsidRDefault="00AF1DA2">
          <w:pPr>
            <w:pBdr>
              <w:top w:val="nil"/>
              <w:left w:val="nil"/>
              <w:bottom w:val="nil"/>
              <w:right w:val="nil"/>
              <w:between w:val="nil"/>
            </w:pBdr>
            <w:tabs>
              <w:tab w:val="left" w:pos="360"/>
              <w:tab w:val="left" w:pos="7560"/>
              <w:tab w:val="left" w:pos="8280"/>
              <w:tab w:val="left" w:pos="9000"/>
              <w:tab w:val="left" w:pos="3417"/>
            </w:tabs>
            <w:jc w:val="center"/>
            <w:rPr>
              <w:color w:val="000000"/>
            </w:rPr>
          </w:pPr>
          <w:r>
            <w:rPr>
              <w:color w:val="000000"/>
            </w:rPr>
            <w:t xml:space="preserve">“Construction of </w:t>
          </w:r>
          <w:proofErr w:type="spellStart"/>
          <w:r>
            <w:rPr>
              <w:color w:val="000000"/>
            </w:rPr>
            <w:t>Akçakale</w:t>
          </w:r>
          <w:proofErr w:type="spellEnd"/>
          <w:r>
            <w:rPr>
              <w:color w:val="000000"/>
            </w:rPr>
            <w:t xml:space="preserve"> Drinking Water Network” Bidding Documents</w:t>
          </w:r>
        </w:p>
      </w:tc>
    </w:tr>
  </w:tbl>
  <w:p w14:paraId="6AFEA7D6" w14:textId="77777777" w:rsidR="00AF1DA2" w:rsidRDefault="00AF1DA2">
    <w:pPr>
      <w:pBdr>
        <w:top w:val="nil"/>
        <w:left w:val="nil"/>
        <w:bottom w:val="nil"/>
        <w:right w:val="nil"/>
        <w:between w:val="nil"/>
      </w:pBdr>
      <w:tabs>
        <w:tab w:val="left" w:pos="360"/>
        <w:tab w:val="left" w:pos="7560"/>
        <w:tab w:val="left" w:pos="8280"/>
        <w:tab w:val="left" w:pos="900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49564" w14:textId="77777777" w:rsidR="00AF1DA2" w:rsidRDefault="00AF1DA2">
    <w:pPr>
      <w:pBdr>
        <w:top w:val="nil"/>
        <w:left w:val="nil"/>
        <w:bottom w:val="nil"/>
        <w:right w:val="nil"/>
        <w:between w:val="nil"/>
      </w:pBdr>
      <w:tabs>
        <w:tab w:val="left" w:pos="360"/>
        <w:tab w:val="left" w:pos="7560"/>
        <w:tab w:val="left" w:pos="8280"/>
        <w:tab w:val="left" w:pos="9000"/>
      </w:tabs>
      <w:rPr>
        <w:color w:val="000000"/>
      </w:rPr>
    </w:pPr>
    <w:r>
      <w:rPr>
        <w:noProof/>
        <w:color w:val="000000"/>
      </w:rPr>
      <mc:AlternateContent>
        <mc:Choice Requires="wps">
          <w:drawing>
            <wp:anchor distT="0" distB="0" distL="0" distR="0" simplePos="0" relativeHeight="251659264" behindDoc="0" locked="0" layoutInCell="1" hidden="0" allowOverlap="1" wp14:anchorId="4FB7208C" wp14:editId="3F687214">
              <wp:simplePos x="0" y="0"/>
              <wp:positionH relativeFrom="page">
                <wp:align>center</wp:align>
              </wp:positionH>
              <wp:positionV relativeFrom="page">
                <wp:align>top</wp:align>
              </wp:positionV>
              <wp:extent cx="810260" cy="354965"/>
              <wp:effectExtent l="0" t="0" r="0" b="0"/>
              <wp:wrapNone/>
              <wp:docPr id="4" name="Dikdörtgen 4" descr="Corporate Use"/>
              <wp:cNvGraphicFramePr/>
              <a:graphic xmlns:a="http://schemas.openxmlformats.org/drawingml/2006/main">
                <a:graphicData uri="http://schemas.microsoft.com/office/word/2010/wordprocessingShape">
                  <wps:wsp>
                    <wps:cNvSpPr/>
                    <wps:spPr>
                      <a:xfrm>
                        <a:off x="4945633" y="3607280"/>
                        <a:ext cx="800735" cy="345440"/>
                      </a:xfrm>
                      <a:prstGeom prst="rect">
                        <a:avLst/>
                      </a:prstGeom>
                      <a:noFill/>
                      <a:ln>
                        <a:noFill/>
                      </a:ln>
                    </wps:spPr>
                    <wps:txbx>
                      <w:txbxContent>
                        <w:p w14:paraId="56B483A7" w14:textId="77777777" w:rsidR="00AF1DA2" w:rsidRDefault="00AF1DA2">
                          <w:pPr>
                            <w:textDirection w:val="btLr"/>
                          </w:pPr>
                          <w:r>
                            <w:rPr>
                              <w:rFonts w:ascii="Aptos" w:eastAsia="Aptos" w:hAnsi="Aptos" w:cs="Aptos"/>
                              <w:color w:val="808080"/>
                              <w:sz w:val="20"/>
                            </w:rPr>
                            <w:t>Corporate Use</w:t>
                          </w:r>
                        </w:p>
                      </w:txbxContent>
                    </wps:txbx>
                    <wps:bodyPr spcFirstLastPara="1" wrap="square" lIns="0" tIns="190500" rIns="0" bIns="0" anchor="t" anchorCtr="0">
                      <a:noAutofit/>
                    </wps:bodyPr>
                  </wps:wsp>
                </a:graphicData>
              </a:graphic>
            </wp:anchor>
          </w:drawing>
        </mc:Choice>
        <mc:Fallback>
          <w:pict>
            <v:rect w14:anchorId="4FB7208C" id="Dikdörtgen 4" o:spid="_x0000_s1027" alt="Corporate Use" style="position:absolute;margin-left:0;margin-top:0;width:63.8pt;height:27.95pt;z-index:251659264;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" filled="f" stroked="f">
              <v:textbox inset="0,15pt,0,0">
                <w:txbxContent>
                  <w:p w14:paraId="56B483A7" w14:textId="77777777" w:rsidR="00AF1DA2" w:rsidRDefault="00AF1DA2">
                    <w:pPr>
                      <w:textDirection w:val="btLr"/>
                    </w:pPr>
                    <w:r>
                      <w:rPr>
                        <w:rFonts w:ascii="Aptos" w:eastAsia="Aptos" w:hAnsi="Aptos" w:cs="Aptos"/>
                        <w:color w:val="808080"/>
                        <w:sz w:val="20"/>
                      </w:rPr>
                      <w:t>Corporate Use</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B1230" w14:textId="77777777" w:rsidR="00AF1DA2" w:rsidRDefault="00AF1DA2">
    <w:pPr>
      <w:pBdr>
        <w:top w:val="nil"/>
        <w:left w:val="nil"/>
        <w:bottom w:val="nil"/>
        <w:right w:val="nil"/>
        <w:between w:val="nil"/>
      </w:pBdr>
      <w:tabs>
        <w:tab w:val="left" w:pos="360"/>
        <w:tab w:val="left" w:pos="7560"/>
        <w:tab w:val="left" w:pos="8280"/>
        <w:tab w:val="left" w:pos="9000"/>
      </w:tabs>
      <w:rPr>
        <w:color w:val="000000"/>
      </w:rPr>
    </w:pPr>
    <w:r>
      <w:rPr>
        <w:noProof/>
        <w:color w:val="000000"/>
      </w:rPr>
      <mc:AlternateContent>
        <mc:Choice Requires="wps">
          <w:drawing>
            <wp:anchor distT="0" distB="0" distL="0" distR="0" simplePos="0" relativeHeight="251660288" behindDoc="0" locked="0" layoutInCell="1" hidden="0" allowOverlap="1" wp14:anchorId="24ED2D3A" wp14:editId="39ECDA3F">
              <wp:simplePos x="0" y="0"/>
              <wp:positionH relativeFrom="page">
                <wp:align>center</wp:align>
              </wp:positionH>
              <wp:positionV relativeFrom="page">
                <wp:align>top</wp:align>
              </wp:positionV>
              <wp:extent cx="810260" cy="354965"/>
              <wp:effectExtent l="0" t="0" r="0" b="0"/>
              <wp:wrapNone/>
              <wp:docPr id="7" name="Dikdörtgen 7" descr="Corporate Use"/>
              <wp:cNvGraphicFramePr/>
              <a:graphic xmlns:a="http://schemas.openxmlformats.org/drawingml/2006/main">
                <a:graphicData uri="http://schemas.microsoft.com/office/word/2010/wordprocessingShape">
                  <wps:wsp>
                    <wps:cNvSpPr/>
                    <wps:spPr>
                      <a:xfrm>
                        <a:off x="4945633" y="3607280"/>
                        <a:ext cx="800735" cy="345440"/>
                      </a:xfrm>
                      <a:prstGeom prst="rect">
                        <a:avLst/>
                      </a:prstGeom>
                      <a:noFill/>
                      <a:ln>
                        <a:noFill/>
                      </a:ln>
                    </wps:spPr>
                    <wps:txbx>
                      <w:txbxContent>
                        <w:p w14:paraId="2B979348" w14:textId="77777777" w:rsidR="00AF1DA2" w:rsidRDefault="00AF1DA2">
                          <w:pPr>
                            <w:textDirection w:val="btLr"/>
                          </w:pPr>
                          <w:r>
                            <w:rPr>
                              <w:rFonts w:ascii="Aptos" w:eastAsia="Aptos" w:hAnsi="Aptos" w:cs="Aptos"/>
                              <w:color w:val="808080"/>
                              <w:sz w:val="20"/>
                            </w:rPr>
                            <w:t>Corporate Use</w:t>
                          </w:r>
                        </w:p>
                      </w:txbxContent>
                    </wps:txbx>
                    <wps:bodyPr spcFirstLastPara="1" wrap="square" lIns="0" tIns="190500" rIns="0" bIns="0" anchor="t" anchorCtr="0">
                      <a:noAutofit/>
                    </wps:bodyPr>
                  </wps:wsp>
                </a:graphicData>
              </a:graphic>
            </wp:anchor>
          </w:drawing>
        </mc:Choice>
        <mc:Fallback>
          <w:pict>
            <v:rect w14:anchorId="24ED2D3A" id="Dikdörtgen 7" o:spid="_x0000_s1028" alt="Corporate Use" style="position:absolute;margin-left:0;margin-top:0;width:63.8pt;height:27.95pt;z-index:25166028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" filled="f" stroked="f">
              <v:textbox inset="0,15pt,0,0">
                <w:txbxContent>
                  <w:p w14:paraId="2B979348" w14:textId="77777777" w:rsidR="00AF1DA2" w:rsidRDefault="00AF1DA2">
                    <w:pPr>
                      <w:textDirection w:val="btLr"/>
                    </w:pPr>
                    <w:r>
                      <w:rPr>
                        <w:rFonts w:ascii="Aptos" w:eastAsia="Aptos" w:hAnsi="Aptos" w:cs="Aptos"/>
                        <w:color w:val="808080"/>
                        <w:sz w:val="20"/>
                      </w:rPr>
                      <w:t>Corporate Use</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75674"/>
    <w:multiLevelType w:val="multilevel"/>
    <w:tmpl w:val="C97AF6B0"/>
    <w:lvl w:ilvl="0">
      <w:start w:val="5"/>
      <w:numFmt w:val="decimal"/>
      <w:lvlText w:val="%1."/>
      <w:lvlJc w:val="left"/>
      <w:pPr>
        <w:ind w:left="720" w:hanging="360"/>
      </w:pPr>
    </w:lvl>
    <w:lvl w:ilvl="1">
      <w:start w:val="1"/>
      <w:numFmt w:val="decimal"/>
      <w:lvlText w:val="%2."/>
      <w:lvlJc w:val="left"/>
      <w:pPr>
        <w:ind w:left="1440" w:hanging="360"/>
      </w:pPr>
      <w:rPr>
        <w:sz w:val="24"/>
        <w:szCs w:val="24"/>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E587C1E"/>
    <w:multiLevelType w:val="multilevel"/>
    <w:tmpl w:val="B148BE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5063DE"/>
    <w:multiLevelType w:val="multilevel"/>
    <w:tmpl w:val="10A4CE2C"/>
    <w:lvl w:ilvl="0">
      <w:start w:val="4"/>
      <w:numFmt w:val="decimal"/>
      <w:lvlText w:val="%1."/>
      <w:lvlJc w:val="left"/>
      <w:pPr>
        <w:ind w:left="720" w:hanging="360"/>
      </w:pPr>
    </w:lvl>
    <w:lvl w:ilvl="1">
      <w:start w:val="2"/>
      <w:numFmt w:val="decimal"/>
      <w:lvlText w:val="%1.%2"/>
      <w:lvlJc w:val="left"/>
      <w:pPr>
        <w:ind w:left="576" w:hanging="576"/>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54D530F6"/>
    <w:multiLevelType w:val="multilevel"/>
    <w:tmpl w:val="181073F6"/>
    <w:lvl w:ilvl="0">
      <w:numFmt w:val="bullet"/>
      <w:lvlText w:val="-"/>
      <w:lvlJc w:val="left"/>
      <w:pPr>
        <w:ind w:left="720" w:hanging="360"/>
      </w:pPr>
      <w:rPr>
        <w:rFonts w:ascii="Times New Roman" w:eastAsia="Times New Roman" w:hAnsi="Times New Roman" w:cs="Times New Roman"/>
        <w:b/>
        <w:bCs/>
      </w:rPr>
    </w:lvl>
    <w:lvl w:ilvl="1">
      <w:start w:val="1"/>
      <w:numFmt w:val="bullet"/>
      <w:lvlText w:val="o"/>
      <w:lvlJc w:val="left"/>
      <w:pPr>
        <w:ind w:left="1440" w:hanging="360"/>
      </w:pPr>
      <w:rPr>
        <w:rFonts w:ascii="Calibri" w:eastAsia="Calibri" w:hAnsi="Calibri" w:cs="Calibri"/>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Calibri" w:eastAsia="Calibri" w:hAnsi="Calibri" w:cs="Calibri"/>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Calibri" w:eastAsia="Calibri" w:hAnsi="Calibri" w:cs="Calibri"/>
      </w:rPr>
    </w:lvl>
    <w:lvl w:ilvl="8">
      <w:start w:val="1"/>
      <w:numFmt w:val="bullet"/>
      <w:lvlText w:val=""/>
      <w:lvlJc w:val="left"/>
      <w:pPr>
        <w:ind w:left="6480" w:hanging="360"/>
      </w:pPr>
      <w:rPr>
        <w:rFonts w:ascii="Tahoma" w:eastAsia="Tahoma" w:hAnsi="Tahoma" w:cs="Tahoma"/>
      </w:rPr>
    </w:lvl>
  </w:abstractNum>
  <w:abstractNum w:abstractNumId="4" w15:restartNumberingAfterBreak="0">
    <w:nsid w:val="5AA06388"/>
    <w:multiLevelType w:val="multilevel"/>
    <w:tmpl w:val="62B052D4"/>
    <w:lvl w:ilvl="0">
      <w:start w:val="1"/>
      <w:numFmt w:val="decimal"/>
      <w:lvlText w:val="%1."/>
      <w:lvlJc w:val="left"/>
      <w:pPr>
        <w:ind w:left="720" w:hanging="360"/>
      </w:pPr>
      <w:rPr>
        <w:strike w:val="0"/>
      </w:rPr>
    </w:lvl>
    <w:lvl w:ilvl="1">
      <w:start w:val="1"/>
      <w:numFmt w:val="decimal"/>
      <w:lvlText w:val="%2."/>
      <w:lvlJc w:val="left"/>
      <w:pPr>
        <w:ind w:left="1440" w:hanging="360"/>
      </w:pPr>
    </w:lvl>
    <w:lvl w:ilvl="2">
      <w:start w:val="1"/>
      <w:numFmt w:val="lowerRoman"/>
      <w:lvlText w:val="%3."/>
      <w:lvlJc w:val="left"/>
      <w:pPr>
        <w:ind w:left="2520" w:hanging="72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A65568A"/>
    <w:multiLevelType w:val="multilevel"/>
    <w:tmpl w:val="70469AE2"/>
    <w:lvl w:ilvl="0">
      <w:start w:val="1"/>
      <w:numFmt w:val="decimal"/>
      <w:lvlText w:val="%1."/>
      <w:lvlJc w:val="left"/>
      <w:pPr>
        <w:ind w:left="720" w:hanging="360"/>
      </w:pPr>
    </w:lvl>
    <w:lvl w:ilvl="1">
      <w:start w:val="1"/>
      <w:numFmt w:val="lowerRoman"/>
      <w:lvlText w:val="%2."/>
      <w:lvlJc w:val="right"/>
      <w:pPr>
        <w:ind w:left="1440" w:hanging="360"/>
      </w:pPr>
    </w:lvl>
    <w:lvl w:ilvl="2">
      <w:start w:val="23"/>
      <w:numFmt w:val="lowerLetter"/>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49534113">
    <w:abstractNumId w:val="4"/>
  </w:num>
  <w:num w:numId="2" w16cid:durableId="1415586763">
    <w:abstractNumId w:val="5"/>
  </w:num>
  <w:num w:numId="3" w16cid:durableId="1988241706">
    <w:abstractNumId w:val="1"/>
  </w:num>
  <w:num w:numId="4" w16cid:durableId="1642268031">
    <w:abstractNumId w:val="0"/>
  </w:num>
  <w:num w:numId="5" w16cid:durableId="1350644802">
    <w:abstractNumId w:val="2"/>
  </w:num>
  <w:num w:numId="6" w16cid:durableId="956525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4F9"/>
    <w:rsid w:val="0008656C"/>
    <w:rsid w:val="00153949"/>
    <w:rsid w:val="002A3560"/>
    <w:rsid w:val="003624F9"/>
    <w:rsid w:val="00952E8D"/>
    <w:rsid w:val="00A766E5"/>
    <w:rsid w:val="00AF1DA2"/>
    <w:rsid w:val="00B45207"/>
    <w:rsid w:val="00C744D3"/>
    <w:rsid w:val="00D7494D"/>
    <w:rsid w:val="00F264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3C402-3E9A-462A-B03B-78E72AD4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DA2"/>
    <w:pPr>
      <w:spacing w:after="0" w:line="240" w:lineRule="auto"/>
    </w:pPr>
    <w:rPr>
      <w:rFonts w:ascii="Times" w:eastAsia="Times" w:hAnsi="Times" w:cs="Times"/>
      <w:kern w:val="0"/>
      <w:sz w:val="22"/>
      <w:szCs w:val="22"/>
      <w:lang w:val="en" w:eastAsia="tr-TR"/>
      <w14:ligatures w14:val="none"/>
    </w:rPr>
  </w:style>
  <w:style w:type="paragraph" w:styleId="Balk1">
    <w:name w:val="heading 1"/>
    <w:basedOn w:val="Normal"/>
    <w:next w:val="Normal"/>
    <w:link w:val="Balk1Char"/>
    <w:uiPriority w:val="9"/>
    <w:qFormat/>
    <w:rsid w:val="00362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62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624F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624F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624F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624F9"/>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624F9"/>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624F9"/>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624F9"/>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624F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624F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624F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624F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624F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624F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624F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624F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624F9"/>
    <w:rPr>
      <w:rFonts w:eastAsiaTheme="majorEastAsia" w:cstheme="majorBidi"/>
      <w:color w:val="272727" w:themeColor="text1" w:themeTint="D8"/>
    </w:rPr>
  </w:style>
  <w:style w:type="paragraph" w:styleId="KonuBal">
    <w:name w:val="Title"/>
    <w:basedOn w:val="Normal"/>
    <w:next w:val="Normal"/>
    <w:link w:val="KonuBalChar"/>
    <w:uiPriority w:val="10"/>
    <w:qFormat/>
    <w:rsid w:val="003624F9"/>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624F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624F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624F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624F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624F9"/>
    <w:rPr>
      <w:i/>
      <w:iCs/>
      <w:color w:val="404040" w:themeColor="text1" w:themeTint="BF"/>
    </w:rPr>
  </w:style>
  <w:style w:type="paragraph" w:styleId="ListeParagraf">
    <w:name w:val="List Paragraph"/>
    <w:basedOn w:val="Normal"/>
    <w:uiPriority w:val="34"/>
    <w:qFormat/>
    <w:rsid w:val="003624F9"/>
    <w:pPr>
      <w:ind w:left="720"/>
      <w:contextualSpacing/>
    </w:pPr>
  </w:style>
  <w:style w:type="character" w:styleId="GlVurgulama">
    <w:name w:val="Intense Emphasis"/>
    <w:basedOn w:val="VarsaylanParagrafYazTipi"/>
    <w:uiPriority w:val="21"/>
    <w:qFormat/>
    <w:rsid w:val="003624F9"/>
    <w:rPr>
      <w:i/>
      <w:iCs/>
      <w:color w:val="0F4761" w:themeColor="accent1" w:themeShade="BF"/>
    </w:rPr>
  </w:style>
  <w:style w:type="paragraph" w:styleId="GlAlnt">
    <w:name w:val="Intense Quote"/>
    <w:basedOn w:val="Normal"/>
    <w:next w:val="Normal"/>
    <w:link w:val="GlAlntChar"/>
    <w:uiPriority w:val="30"/>
    <w:qFormat/>
    <w:rsid w:val="00362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624F9"/>
    <w:rPr>
      <w:i/>
      <w:iCs/>
      <w:color w:val="0F4761" w:themeColor="accent1" w:themeShade="BF"/>
    </w:rPr>
  </w:style>
  <w:style w:type="character" w:styleId="GlBavuru">
    <w:name w:val="Intense Reference"/>
    <w:basedOn w:val="VarsaylanParagrafYazTipi"/>
    <w:uiPriority w:val="32"/>
    <w:qFormat/>
    <w:rsid w:val="003624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ski.gov.t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uski.gov.t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1108</Words>
  <Characters>6317</Characters>
  <Application>Microsoft Office Word</Application>
  <DocSecurity>0</DocSecurity>
  <Lines>52</Lines>
  <Paragraphs>14</Paragraphs>
  <ScaleCrop>false</ScaleCrop>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5</cp:revision>
  <dcterms:created xsi:type="dcterms:W3CDTF">2026-08-24T12:20:00Z</dcterms:created>
  <dcterms:modified xsi:type="dcterms:W3CDTF">2026-08-25T05:47:00Z</dcterms:modified>
</cp:coreProperties>
</file>